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57141" w14:textId="77777777" w:rsidR="00656AA2" w:rsidRDefault="00656AA2" w:rsidP="00656AA2">
      <w:pPr>
        <w:jc w:val="center"/>
        <w:rPr>
          <w:b/>
          <w:bCs/>
          <w:u w:val="single"/>
        </w:rPr>
      </w:pPr>
      <w:r w:rsidRPr="00656AA2">
        <w:rPr>
          <w:b/>
          <w:bCs/>
          <w:u w:val="single"/>
        </w:rPr>
        <w:t>When Professional Liability Limits Fall Short: How OPPI Steps In</w:t>
      </w:r>
    </w:p>
    <w:p w14:paraId="61268797" w14:textId="1607DA9F" w:rsidR="002F3362" w:rsidRPr="00656AA2" w:rsidRDefault="002F3362" w:rsidP="00656AA2">
      <w:pPr>
        <w:jc w:val="center"/>
        <w:rPr>
          <w:b/>
          <w:bCs/>
          <w:u w:val="single"/>
        </w:rPr>
      </w:pPr>
      <w:r>
        <w:rPr>
          <w:b/>
          <w:bCs/>
          <w:u w:val="single"/>
        </w:rPr>
        <w:t>By: Chris Bair and Joseph Nawa</w:t>
      </w:r>
      <w:r>
        <w:rPr>
          <w:b/>
          <w:bCs/>
          <w:u w:val="single"/>
        </w:rPr>
        <w:br/>
        <w:t>RT Specialty’s Environmental &amp; Construction Professional Practice</w:t>
      </w:r>
    </w:p>
    <w:p w14:paraId="1751C108" w14:textId="5C42AA72" w:rsidR="006C41EF" w:rsidRDefault="006C41EF" w:rsidP="006C41EF">
      <w:r>
        <w:t xml:space="preserve">As project complexity and project values continue to grow, owners are increasingly asking for professional liability limits that exceed what an Architect or Engineer (A&amp;E) can reasonably provide through their practice </w:t>
      </w:r>
      <w:r w:rsidR="00BD01D7">
        <w:t>policy or</w:t>
      </w:r>
      <w:r>
        <w:t xml:space="preserve"> afford through project-specific solutions. Owner’s Protective Professional Indemnity (OPPI) coverage offers an alternative solution to satisfy a project owner’s desire for higher limits without an A&amp;E firm </w:t>
      </w:r>
      <w:r w:rsidR="00FF1039">
        <w:t>taking on additional</w:t>
      </w:r>
      <w:r>
        <w:t xml:space="preserve"> insurance costs.</w:t>
      </w:r>
    </w:p>
    <w:p w14:paraId="54EF4C40" w14:textId="6933AF3F" w:rsidR="006C41EF" w:rsidRPr="006C41EF" w:rsidRDefault="006C41EF" w:rsidP="006C41EF">
      <w:pPr>
        <w:rPr>
          <w:b/>
          <w:bCs/>
          <w:u w:val="single"/>
        </w:rPr>
      </w:pPr>
      <w:r w:rsidRPr="006C41EF">
        <w:rPr>
          <w:b/>
          <w:bCs/>
          <w:u w:val="single"/>
        </w:rPr>
        <w:t>What Is OPPI</w:t>
      </w:r>
    </w:p>
    <w:p w14:paraId="19EBDBD6" w14:textId="65946D69" w:rsidR="006C41EF" w:rsidRDefault="006C41EF" w:rsidP="006C41EF">
      <w:r>
        <w:t>OPPI is a project</w:t>
      </w:r>
      <w:r>
        <w:rPr>
          <w:rFonts w:ascii="Cambria Math" w:hAnsi="Cambria Math" w:cs="Cambria Math"/>
        </w:rPr>
        <w:t>‑</w:t>
      </w:r>
      <w:r>
        <w:t xml:space="preserve">specific professional liability policy developed for project owners to </w:t>
      </w:r>
      <w:r w:rsidR="00FF1039">
        <w:t xml:space="preserve">help </w:t>
      </w:r>
      <w:r>
        <w:t>protect against losses arising out of professional services performed by designers, engineers, and other consultants. While the coverage ultimately responds to professional negligence, it is separate from and excess of the A&amp;E firm</w:t>
      </w:r>
      <w:r>
        <w:rPr>
          <w:rFonts w:ascii="Aptos" w:hAnsi="Aptos" w:cs="Aptos"/>
        </w:rPr>
        <w:t>’</w:t>
      </w:r>
      <w:r>
        <w:t xml:space="preserve">s own professional liability policy. In addition to being excess </w:t>
      </w:r>
      <w:r w:rsidR="00923EDA">
        <w:t xml:space="preserve">to </w:t>
      </w:r>
      <w:r>
        <w:t xml:space="preserve">the design professional’s insurance, differ-in-conditions provisions </w:t>
      </w:r>
      <w:r w:rsidR="00923EDA">
        <w:t xml:space="preserve">typically </w:t>
      </w:r>
      <w:r>
        <w:t xml:space="preserve">allow the coverage to “drop-down” and respond when the A&amp;E firm’s limits have been eroded by other claims/losses or when an exclusion precludes coverage. Ultimately, this policy allows owners to secure higher limits aligned with project exposure at a more cost-efficient premium compared to Project Specific Professional Liability (PSPL). OPPI </w:t>
      </w:r>
      <w:r w:rsidR="00923EDA">
        <w:t xml:space="preserve">is often </w:t>
      </w:r>
      <w:r>
        <w:t>40-60% of the cost of a PSPL program for an A&amp;E firm.</w:t>
      </w:r>
    </w:p>
    <w:p w14:paraId="3A22BCD0" w14:textId="46EC57E0" w:rsidR="006C41EF" w:rsidRPr="006C41EF" w:rsidRDefault="006C41EF" w:rsidP="006C41EF">
      <w:pPr>
        <w:rPr>
          <w:b/>
          <w:bCs/>
          <w:u w:val="single"/>
        </w:rPr>
      </w:pPr>
      <w:r w:rsidRPr="006C41EF">
        <w:rPr>
          <w:b/>
          <w:bCs/>
          <w:u w:val="single"/>
        </w:rPr>
        <w:t>Cost Drivers for OPPI</w:t>
      </w:r>
    </w:p>
    <w:p w14:paraId="4E23B8C4" w14:textId="2B8E510E" w:rsidR="006C41EF" w:rsidRDefault="006C41EF" w:rsidP="006C41EF">
      <w:r>
        <w:t xml:space="preserve">Similar to PSPL, an OPPI program’s pricing </w:t>
      </w:r>
      <w:r w:rsidR="00923EDA">
        <w:t xml:space="preserve">is usually </w:t>
      </w:r>
      <w:r>
        <w:t xml:space="preserve">driven by project type and complexity, construction values, limit structure, </w:t>
      </w:r>
      <w:r w:rsidR="00923EDA">
        <w:t>third-</w:t>
      </w:r>
      <w:r w:rsidR="0064697C">
        <w:t xml:space="preserve">party SIR, </w:t>
      </w:r>
      <w:r>
        <w:t>and most importantly the minimum insurance requirement (MIR). Because the coverage is excess</w:t>
      </w:r>
      <w:r w:rsidR="0064697C">
        <w:t xml:space="preserve"> </w:t>
      </w:r>
      <w:r w:rsidR="00923EDA">
        <w:t xml:space="preserve">to </w:t>
      </w:r>
      <w:r w:rsidR="0064697C">
        <w:t xml:space="preserve">the design professional’s (DP) insurance, underwriters </w:t>
      </w:r>
      <w:r w:rsidR="00923EDA">
        <w:t xml:space="preserve">typically </w:t>
      </w:r>
      <w:r w:rsidR="0064697C">
        <w:t>apply an MIR</w:t>
      </w:r>
      <w:r w:rsidR="00923EDA">
        <w:t>,</w:t>
      </w:r>
      <w:r w:rsidR="0064697C">
        <w:t xml:space="preserve"> which is the minimum insurance a DP is expected to evidence at the </w:t>
      </w:r>
      <w:r w:rsidR="007867DF">
        <w:t>time of a claim</w:t>
      </w:r>
      <w:r w:rsidR="0064697C">
        <w:t>. A higher MIR reduce</w:t>
      </w:r>
      <w:r w:rsidR="00923EDA">
        <w:t>s</w:t>
      </w:r>
      <w:r w:rsidR="0064697C">
        <w:t xml:space="preserve"> the OPPI premium.</w:t>
      </w:r>
    </w:p>
    <w:p w14:paraId="4B42C642" w14:textId="4FDE6399" w:rsidR="006C41EF" w:rsidRDefault="00D734E9" w:rsidP="006C41EF">
      <w:r>
        <w:t>Generally,</w:t>
      </w:r>
      <w:r w:rsidR="0064697C">
        <w:t xml:space="preserve"> the MIR and </w:t>
      </w:r>
      <w:r w:rsidR="00923EDA">
        <w:t>third-</w:t>
      </w:r>
      <w:r w:rsidR="0064697C">
        <w:t xml:space="preserve">party SIR </w:t>
      </w:r>
      <w:r w:rsidR="00923EDA">
        <w:t xml:space="preserve">is </w:t>
      </w:r>
      <w:r w:rsidR="0064697C">
        <w:t>driven by project type and the owner, with underwriters pushing higher MIRs/SIRs for higher hazard projects (e.g. data</w:t>
      </w:r>
      <w:r w:rsidR="00923EDA">
        <w:t xml:space="preserve"> </w:t>
      </w:r>
      <w:r w:rsidR="0064697C">
        <w:t>centers, condos, infrastructure) and owners opting for a higher MIR/SIR for cost savings.</w:t>
      </w:r>
      <w:r w:rsidR="00BD01D7">
        <w:t xml:space="preserve"> </w:t>
      </w:r>
      <w:r w:rsidR="000974C3">
        <w:t>An MIR is often thought of as a minimum attachment point, but it</w:t>
      </w:r>
      <w:r w:rsidR="00DE50A2">
        <w:t xml:space="preserve"> should be noted that the coverage will still sit excess the available insurance (this is where Limitations of Liability come into play!).</w:t>
      </w:r>
    </w:p>
    <w:p w14:paraId="7051C002" w14:textId="1BE10D80" w:rsidR="006C41EF" w:rsidRPr="00D734E9" w:rsidRDefault="006C41EF" w:rsidP="006C41EF">
      <w:pPr>
        <w:rPr>
          <w:b/>
          <w:bCs/>
          <w:u w:val="single"/>
        </w:rPr>
      </w:pPr>
      <w:r w:rsidRPr="00D734E9">
        <w:rPr>
          <w:b/>
          <w:bCs/>
          <w:u w:val="single"/>
        </w:rPr>
        <w:t xml:space="preserve">Underwriting </w:t>
      </w:r>
      <w:r w:rsidR="00D734E9" w:rsidRPr="00D734E9">
        <w:rPr>
          <w:b/>
          <w:bCs/>
          <w:u w:val="single"/>
        </w:rPr>
        <w:t>Requirements</w:t>
      </w:r>
    </w:p>
    <w:p w14:paraId="0B4006CA" w14:textId="03D0DE4C" w:rsidR="006C41EF" w:rsidRDefault="006C41EF" w:rsidP="006C41EF">
      <w:r>
        <w:t xml:space="preserve">OPPI underwriting is </w:t>
      </w:r>
      <w:r w:rsidR="00D734E9">
        <w:t xml:space="preserve">contract-focused, while indications can be obtained with much of the same information gathered for Builder’s Risk or </w:t>
      </w:r>
      <w:r w:rsidR="00923EDA">
        <w:t xml:space="preserve">Owner Controlled Insurance Program </w:t>
      </w:r>
      <w:r w:rsidR="00923EDA">
        <w:lastRenderedPageBreak/>
        <w:t>(</w:t>
      </w:r>
      <w:r w:rsidR="00D734E9">
        <w:t>OCIP</w:t>
      </w:r>
      <w:r w:rsidR="00923EDA">
        <w:t>)</w:t>
      </w:r>
      <w:r w:rsidR="00D734E9">
        <w:t>/</w:t>
      </w:r>
      <w:r w:rsidR="00923EDA">
        <w:t>Contractor Controlled Insurance Program (</w:t>
      </w:r>
      <w:r w:rsidR="00D734E9">
        <w:t>CCIP</w:t>
      </w:r>
      <w:r w:rsidR="00923EDA">
        <w:t>)</w:t>
      </w:r>
      <w:r w:rsidR="00D734E9">
        <w:t xml:space="preserve"> quotes</w:t>
      </w:r>
      <w:r w:rsidR="00923EDA">
        <w:t>. F</w:t>
      </w:r>
      <w:r w:rsidR="00D734E9">
        <w:t xml:space="preserve">ormal terms generally require a thorough review of contracts between the owner and any design professional </w:t>
      </w:r>
      <w:r w:rsidR="00923EDA">
        <w:t xml:space="preserve">with whom </w:t>
      </w:r>
      <w:r w:rsidR="00D734E9">
        <w:t xml:space="preserve">they’ve directly contracted. Underwriters will examine waivers of consequential damage, limitations of liability (LOL), and scope of work. An LOL that is more restrictive than the MIR (e.g. $250,000 LOL and a $2M MIR) will generally be unacceptable </w:t>
      </w:r>
      <w:r w:rsidR="00923EDA">
        <w:t xml:space="preserve">to </w:t>
      </w:r>
      <w:r w:rsidR="00D734E9">
        <w:t>the underwriter and may require renegotiation of the contract before bindable terms are provided. OPPI underwriters generally want to see an LOL that includes available insurance proceeds or</w:t>
      </w:r>
      <w:r w:rsidR="00923EDA">
        <w:t>,</w:t>
      </w:r>
      <w:r w:rsidR="00D734E9">
        <w:t xml:space="preserve"> at a minimum</w:t>
      </w:r>
      <w:r w:rsidR="00923EDA">
        <w:t>,</w:t>
      </w:r>
      <w:r w:rsidR="00D734E9">
        <w:t xml:space="preserve"> matches the MIR. In addition to contract review, the underwriters will </w:t>
      </w:r>
      <w:r w:rsidR="00FF1039">
        <w:t xml:space="preserve">typically </w:t>
      </w:r>
      <w:r w:rsidR="00D734E9">
        <w:t>request:</w:t>
      </w:r>
    </w:p>
    <w:p w14:paraId="21ED6F52" w14:textId="3FCCAD1A" w:rsidR="00D734E9" w:rsidRDefault="00D734E9" w:rsidP="00D734E9">
      <w:pPr>
        <w:pStyle w:val="ListParagraph"/>
        <w:numPr>
          <w:ilvl w:val="0"/>
          <w:numId w:val="6"/>
        </w:numPr>
      </w:pPr>
      <w:r>
        <w:t>A completed OPPI application</w:t>
      </w:r>
    </w:p>
    <w:p w14:paraId="3509323D" w14:textId="49D4A11C" w:rsidR="00D734E9" w:rsidRDefault="00D734E9" w:rsidP="00D734E9">
      <w:pPr>
        <w:pStyle w:val="ListParagraph"/>
        <w:numPr>
          <w:ilvl w:val="0"/>
          <w:numId w:val="6"/>
        </w:numPr>
      </w:pPr>
      <w:r>
        <w:t xml:space="preserve">Schedule of the Prime </w:t>
      </w:r>
      <w:r w:rsidR="00923EDA">
        <w:t>General Contractor (</w:t>
      </w:r>
      <w:r>
        <w:t>GC</w:t>
      </w:r>
      <w:r w:rsidR="00923EDA">
        <w:t>)</w:t>
      </w:r>
      <w:r>
        <w:t xml:space="preserve"> / Design-Builder and any DP in direct contract with the owner</w:t>
      </w:r>
    </w:p>
    <w:p w14:paraId="1A149119" w14:textId="7EECCED7" w:rsidR="00D734E9" w:rsidRDefault="00923EDA" w:rsidP="00D734E9">
      <w:pPr>
        <w:pStyle w:val="ListParagraph"/>
        <w:numPr>
          <w:ilvl w:val="0"/>
          <w:numId w:val="6"/>
        </w:numPr>
      </w:pPr>
      <w:r>
        <w:t>Certificates of Insurance (</w:t>
      </w:r>
      <w:r w:rsidR="00D734E9">
        <w:t>COI</w:t>
      </w:r>
      <w:r>
        <w:t xml:space="preserve">) </w:t>
      </w:r>
      <w:r w:rsidR="00D734E9">
        <w:t xml:space="preserve">evidencing </w:t>
      </w:r>
      <w:r>
        <w:t>Professional Liability (</w:t>
      </w:r>
      <w:r w:rsidR="00D734E9">
        <w:t>PL</w:t>
      </w:r>
      <w:r>
        <w:t>)</w:t>
      </w:r>
      <w:r w:rsidR="00D734E9">
        <w:t xml:space="preserve"> limits that meet the MIR</w:t>
      </w:r>
    </w:p>
    <w:p w14:paraId="609CB62C" w14:textId="5755C0BF" w:rsidR="00D734E9" w:rsidRDefault="00D734E9" w:rsidP="00D734E9">
      <w:pPr>
        <w:pStyle w:val="ListParagraph"/>
        <w:numPr>
          <w:ilvl w:val="0"/>
          <w:numId w:val="6"/>
        </w:numPr>
      </w:pPr>
      <w:r>
        <w:t>Project Budget/Schedule</w:t>
      </w:r>
    </w:p>
    <w:p w14:paraId="44D97918" w14:textId="61EF6FF5" w:rsidR="00D734E9" w:rsidRDefault="00D734E9" w:rsidP="00D734E9">
      <w:pPr>
        <w:pStyle w:val="ListParagraph"/>
        <w:numPr>
          <w:ilvl w:val="0"/>
          <w:numId w:val="6"/>
        </w:numPr>
      </w:pPr>
      <w:r>
        <w:t>Geotechnical Report</w:t>
      </w:r>
    </w:p>
    <w:p w14:paraId="6F8207AC" w14:textId="77777777" w:rsidR="0064697C" w:rsidRDefault="0064697C" w:rsidP="0064697C">
      <w:pPr>
        <w:rPr>
          <w:b/>
          <w:bCs/>
          <w:u w:val="single"/>
        </w:rPr>
      </w:pPr>
      <w:r>
        <w:rPr>
          <w:b/>
          <w:bCs/>
          <w:u w:val="single"/>
        </w:rPr>
        <w:t>Benefits for A&amp;E Firms</w:t>
      </w:r>
    </w:p>
    <w:p w14:paraId="6A6D45B2" w14:textId="5DE8494F" w:rsidR="0064697C" w:rsidRDefault="0064697C" w:rsidP="0064697C">
      <w:r>
        <w:t>OPPI does not provide coverage for the DPs</w:t>
      </w:r>
      <w:r w:rsidR="009029AC">
        <w:t>;</w:t>
      </w:r>
      <w:r>
        <w:t xml:space="preserve"> coverage is </w:t>
      </w:r>
      <w:proofErr w:type="gramStart"/>
      <w:r>
        <w:t>strictly</w:t>
      </w:r>
      <w:proofErr w:type="gramEnd"/>
      <w:r>
        <w:t xml:space="preserve"> for the owner in the event the DP’s insurance limits are inadequate to cover the loss, eroded by other claims, or an exclusion applies. However, even though A&amp;E firms are not covered by OPPI, there are still </w:t>
      </w:r>
      <w:r w:rsidR="00D734E9">
        <w:t>some</w:t>
      </w:r>
      <w:r>
        <w:t xml:space="preserve"> benefits for A&amp;E firms:</w:t>
      </w:r>
    </w:p>
    <w:p w14:paraId="42EE81A6" w14:textId="4E9C5400" w:rsidR="006C41EF" w:rsidRDefault="0064697C" w:rsidP="006C41EF">
      <w:pPr>
        <w:pStyle w:val="ListParagraph"/>
        <w:numPr>
          <w:ilvl w:val="0"/>
          <w:numId w:val="5"/>
        </w:numPr>
      </w:pPr>
      <w:r>
        <w:t xml:space="preserve">Lower </w:t>
      </w:r>
      <w:r w:rsidR="00B00F14">
        <w:t>I</w:t>
      </w:r>
      <w:r>
        <w:t xml:space="preserve">nsurance </w:t>
      </w:r>
      <w:r w:rsidR="00B00F14">
        <w:t>C</w:t>
      </w:r>
      <w:r>
        <w:t xml:space="preserve">osts – Rather than being required to purchase higher practice limits, PSPL, or project/client specific excess policies, OPPI can help to strike a balance between the owner’s </w:t>
      </w:r>
      <w:r w:rsidR="00D734E9">
        <w:t>desire for higher Professional Liability limits with what is realistically available in terms of capacity and cost.</w:t>
      </w:r>
    </w:p>
    <w:p w14:paraId="742DC93D" w14:textId="7033BD7F" w:rsidR="006C41EF" w:rsidRDefault="00D734E9" w:rsidP="00BD01D7">
      <w:pPr>
        <w:pStyle w:val="ListParagraph"/>
        <w:numPr>
          <w:ilvl w:val="0"/>
          <w:numId w:val="5"/>
        </w:numPr>
      </w:pPr>
      <w:r>
        <w:t>Peace of Mind for the Owner – Often times, A&amp;E firms us</w:t>
      </w:r>
      <w:r w:rsidR="009029AC">
        <w:t>e</w:t>
      </w:r>
      <w:r>
        <w:t xml:space="preserve"> their practice policy to meet the insurance requirements put forth by the owner. This means that limits can be eroded or coverage might non-renew, cancel, or lapse without their knowledge.</w:t>
      </w:r>
      <w:r w:rsidR="00BD01D7">
        <w:t xml:space="preserve"> In one instance, a retail partner shared the tragic story of a design professional who unexpectedly passed away. There were concerns that the PL policy might not be renewed and the owner would have no recourse for design</w:t>
      </w:r>
      <w:r w:rsidR="009029AC">
        <w:t>.</w:t>
      </w:r>
      <w:r w:rsidR="00BD01D7">
        <w:t xml:space="preserve"> </w:t>
      </w:r>
    </w:p>
    <w:p w14:paraId="1D8F64D1" w14:textId="72052FEB" w:rsidR="00B00F14" w:rsidRDefault="00B00F14" w:rsidP="00B00F14">
      <w:pPr>
        <w:pStyle w:val="ListParagraph"/>
        <w:numPr>
          <w:ilvl w:val="0"/>
          <w:numId w:val="5"/>
        </w:numPr>
        <w:spacing w:after="0" w:line="240" w:lineRule="auto"/>
        <w:contextualSpacing w:val="0"/>
        <w:rPr>
          <w:rFonts w:eastAsia="Times New Roman"/>
          <w:sz w:val="22"/>
          <w:szCs w:val="22"/>
        </w:rPr>
      </w:pPr>
      <w:r>
        <w:rPr>
          <w:rFonts w:eastAsia="Times New Roman"/>
          <w:sz w:val="22"/>
          <w:szCs w:val="22"/>
        </w:rPr>
        <w:t>Easier Access to Elevated Capacity – The A&amp;E’s owner client can readily access elevated capacity via an alternate segment of the insurance marketplace than the A&amp;E segment, which has seen reductions in capacity over the past several years.</w:t>
      </w:r>
    </w:p>
    <w:p w14:paraId="6E23CF05" w14:textId="736F1C4C" w:rsidR="00B00F14" w:rsidRDefault="00B00F14" w:rsidP="00D702FD">
      <w:pPr>
        <w:pStyle w:val="ListParagraph"/>
        <w:numPr>
          <w:ilvl w:val="0"/>
          <w:numId w:val="5"/>
        </w:numPr>
        <w:spacing w:after="0" w:line="240" w:lineRule="auto"/>
        <w:contextualSpacing w:val="0"/>
        <w:rPr>
          <w:rFonts w:eastAsia="Times New Roman"/>
          <w:sz w:val="22"/>
          <w:szCs w:val="22"/>
        </w:rPr>
      </w:pPr>
      <w:r>
        <w:rPr>
          <w:rFonts w:eastAsia="Times New Roman"/>
          <w:sz w:val="22"/>
          <w:szCs w:val="22"/>
        </w:rPr>
        <w:t xml:space="preserve">Non-disclosure Conditions Don’t Apply - In the current OPPI marketplace, carriers generally no longer apply non-disclosure conditions. Historically, OPPI products attached coverage-bearing conditions restricting project owners from disclosing the existence of an OPPI policy to the design professional. These conditions have largely gone away, allowing for </w:t>
      </w:r>
      <w:r>
        <w:rPr>
          <w:rFonts w:eastAsia="Times New Roman"/>
          <w:sz w:val="22"/>
          <w:szCs w:val="22"/>
        </w:rPr>
        <w:lastRenderedPageBreak/>
        <w:t>open dialogue on pursuit of professional liability capacity if through alternate mechanism of PSPL or excess over A&amp;E’s practice program.</w:t>
      </w:r>
    </w:p>
    <w:p w14:paraId="178FAA20" w14:textId="77777777" w:rsidR="00D702FD" w:rsidRPr="00D702FD" w:rsidRDefault="00D702FD" w:rsidP="00D702FD">
      <w:pPr>
        <w:pStyle w:val="ListParagraph"/>
        <w:spacing w:after="0" w:line="240" w:lineRule="auto"/>
        <w:contextualSpacing w:val="0"/>
        <w:rPr>
          <w:rFonts w:eastAsia="Times New Roman"/>
          <w:sz w:val="22"/>
          <w:szCs w:val="22"/>
        </w:rPr>
      </w:pPr>
    </w:p>
    <w:p w14:paraId="35BC1EA4" w14:textId="052F071E" w:rsidR="006C41EF" w:rsidRDefault="00BD01D7" w:rsidP="006C41EF">
      <w:pPr>
        <w:rPr>
          <w:b/>
          <w:bCs/>
          <w:u w:val="single"/>
        </w:rPr>
      </w:pPr>
      <w:r>
        <w:rPr>
          <w:b/>
          <w:bCs/>
          <w:u w:val="single"/>
        </w:rPr>
        <w:t>Conclusion</w:t>
      </w:r>
    </w:p>
    <w:p w14:paraId="0CC663C1" w14:textId="0BF9B204" w:rsidR="006C41EF" w:rsidRDefault="00BD01D7" w:rsidP="006C41EF">
      <w:r>
        <w:t xml:space="preserve">OPPI can be leveraged to help owners achieve their goal of higher PL limits without passing </w:t>
      </w:r>
      <w:r w:rsidR="00FF1039">
        <w:t xml:space="preserve">additional </w:t>
      </w:r>
      <w:r>
        <w:t xml:space="preserve">insurance costs to the A&amp;E firm. </w:t>
      </w:r>
      <w:r w:rsidR="006C41EF">
        <w:t>For producers focused on Architects &amp; Engineers, mastering OPPI can differentiate your expertise and strengthen relationships on both sides of the transaction.</w:t>
      </w:r>
    </w:p>
    <w:p w14:paraId="46E1CB12" w14:textId="77777777" w:rsidR="002F3362" w:rsidRDefault="002F3362" w:rsidP="002F3362">
      <w:pPr>
        <w:rPr>
          <w:i/>
          <w:iCs/>
        </w:rPr>
      </w:pPr>
      <w:r>
        <w:rPr>
          <w:i/>
          <w:iCs/>
        </w:rPr>
        <w:t xml:space="preserve">Chris Bair </w:t>
      </w:r>
      <w:r w:rsidRPr="00C9328C">
        <w:rPr>
          <w:i/>
          <w:iCs/>
        </w:rPr>
        <w:t xml:space="preserve">is </w:t>
      </w:r>
      <w:r>
        <w:rPr>
          <w:i/>
          <w:iCs/>
        </w:rPr>
        <w:t xml:space="preserve">a consultant in </w:t>
      </w:r>
      <w:r w:rsidRPr="00C9328C">
        <w:rPr>
          <w:i/>
          <w:iCs/>
        </w:rPr>
        <w:t xml:space="preserve">RT Specialty’s Environmental and Construction Professional Practice. He holds the </w:t>
      </w:r>
      <w:r>
        <w:rPr>
          <w:i/>
          <w:iCs/>
        </w:rPr>
        <w:t xml:space="preserve">Chartered Property Casualty Underwriter (CPCU), Construction Risk and Insurance Specialist (CRIS), and Commercial Lines Coverage Specialist (CLCS) designations. </w:t>
      </w:r>
      <w:r w:rsidRPr="00C9328C">
        <w:rPr>
          <w:i/>
          <w:iCs/>
        </w:rPr>
        <w:t xml:space="preserve">He can be reached at </w:t>
      </w:r>
      <w:hyperlink r:id="rId5" w:history="1">
        <w:r w:rsidRPr="002F3362">
          <w:rPr>
            <w:rStyle w:val="Hyperlink"/>
            <w:i/>
            <w:iCs/>
          </w:rPr>
          <w:t>chris.bair@rtspecialty.com</w:t>
        </w:r>
      </w:hyperlink>
      <w:r w:rsidRPr="00C9328C">
        <w:rPr>
          <w:i/>
          <w:iCs/>
        </w:rPr>
        <w:t xml:space="preserve"> or </w:t>
      </w:r>
      <w:r w:rsidRPr="002F3362">
        <w:rPr>
          <w:i/>
          <w:iCs/>
        </w:rPr>
        <w:t>385-424-5063</w:t>
      </w:r>
      <w:r w:rsidRPr="00C9328C">
        <w:rPr>
          <w:i/>
          <w:iCs/>
        </w:rPr>
        <w:t xml:space="preserve">. </w:t>
      </w:r>
    </w:p>
    <w:p w14:paraId="2DCAD55C" w14:textId="4FF55A25" w:rsidR="002F3362" w:rsidRDefault="002F3362" w:rsidP="002F3362">
      <w:pPr>
        <w:rPr>
          <w:i/>
          <w:iCs/>
        </w:rPr>
      </w:pPr>
      <w:r>
        <w:rPr>
          <w:i/>
          <w:iCs/>
        </w:rPr>
        <w:t xml:space="preserve">Joseph Nawa is Executive Vice President in </w:t>
      </w:r>
      <w:r w:rsidRPr="00C9328C">
        <w:rPr>
          <w:i/>
          <w:iCs/>
        </w:rPr>
        <w:t>RT Specialty’s Environmental and Construction Professional Practice.</w:t>
      </w:r>
      <w:r>
        <w:rPr>
          <w:i/>
          <w:iCs/>
        </w:rPr>
        <w:t xml:space="preserve"> He holds the CPCU, CRIS and Registered Professional Liability Underwriter (RPLU) designations. He can be reached at </w:t>
      </w:r>
      <w:hyperlink r:id="rId6" w:history="1">
        <w:r w:rsidRPr="007825DF">
          <w:rPr>
            <w:rStyle w:val="Hyperlink"/>
            <w:i/>
            <w:iCs/>
          </w:rPr>
          <w:t>joseph.nawa@rtspecialty.com</w:t>
        </w:r>
      </w:hyperlink>
      <w:r>
        <w:rPr>
          <w:i/>
          <w:iCs/>
        </w:rPr>
        <w:t xml:space="preserve"> or </w:t>
      </w:r>
      <w:r w:rsidRPr="002F3362">
        <w:rPr>
          <w:i/>
          <w:iCs/>
          <w:u w:val="single"/>
        </w:rPr>
        <w:t>609-528-3898</w:t>
      </w:r>
      <w:r>
        <w:rPr>
          <w:i/>
          <w:iCs/>
          <w:u w:val="single"/>
        </w:rPr>
        <w:t>.</w:t>
      </w:r>
    </w:p>
    <w:p w14:paraId="034B267B" w14:textId="3408CFDE" w:rsidR="002F3362" w:rsidRPr="00C9328C" w:rsidRDefault="002F3362" w:rsidP="002F3362">
      <w:pPr>
        <w:rPr>
          <w:rFonts w:cs="Arial"/>
          <w:i/>
          <w:iCs/>
        </w:rPr>
      </w:pPr>
      <w:r w:rsidRPr="00C9328C">
        <w:rPr>
          <w:rFonts w:cs="Arial"/>
          <w:i/>
          <w:iCs/>
        </w:rPr>
        <w:t xml:space="preserve">RT ECP is a part of the RT Specialty division of RSG </w:t>
      </w:r>
      <w:proofErr w:type="gramStart"/>
      <w:r w:rsidRPr="00C9328C">
        <w:rPr>
          <w:rFonts w:cs="Arial"/>
          <w:i/>
          <w:iCs/>
        </w:rPr>
        <w:t>Specialty,</w:t>
      </w:r>
      <w:proofErr w:type="gramEnd"/>
      <w:r w:rsidRPr="00C9328C">
        <w:rPr>
          <w:rFonts w:cs="Arial"/>
          <w:i/>
          <w:iCs/>
        </w:rPr>
        <w:t xml:space="preserve"> LLC, a Delaware limited liability company based in Illinois. RSG Specialty, LLC, is a subsidiary of Ryan Specialty, LLC. RT ECP provides wholesale insurance brokerage and other services to agents and brokers. RT ECP does not solicit insurance from the public. Some products may only be available in certain states, and some products may only be available from surplus lines insurers. In California: RSG Specialty Insurance Services, LLC (License #0G97516). ©2026 Ryan Specialty, LLC</w:t>
      </w:r>
    </w:p>
    <w:p w14:paraId="5D707BB0" w14:textId="4BB9381C" w:rsidR="002F3362" w:rsidRPr="00D702FD" w:rsidRDefault="002F3362" w:rsidP="006C41EF">
      <w:pPr>
        <w:rPr>
          <w:rFonts w:cs="Arial"/>
          <w:i/>
          <w:iCs/>
        </w:rPr>
      </w:pPr>
      <w:r w:rsidRPr="00C9328C">
        <w:rPr>
          <w:rFonts w:cs="Arial"/>
          <w:i/>
          <w:iCs/>
        </w:rPr>
        <w:t xml:space="preserve">This article is provided for educational and informational purposes only. It is not intended to be relied upon as legal or professional advice. Every insured’s </w:t>
      </w:r>
      <w:proofErr w:type="gramStart"/>
      <w:r w:rsidRPr="00C9328C">
        <w:rPr>
          <w:rFonts w:cs="Arial"/>
          <w:i/>
          <w:iCs/>
        </w:rPr>
        <w:t>circumstances</w:t>
      </w:r>
      <w:proofErr w:type="gramEnd"/>
      <w:r w:rsidRPr="00C9328C">
        <w:rPr>
          <w:rFonts w:cs="Arial"/>
          <w:i/>
          <w:iCs/>
        </w:rPr>
        <w:t xml:space="preserve"> will differ, and all </w:t>
      </w:r>
      <w:proofErr w:type="gramStart"/>
      <w:r w:rsidRPr="00C9328C">
        <w:rPr>
          <w:rFonts w:cs="Arial"/>
          <w:i/>
          <w:iCs/>
        </w:rPr>
        <w:t>coverages are</w:t>
      </w:r>
      <w:proofErr w:type="gramEnd"/>
      <w:r w:rsidRPr="00C9328C">
        <w:rPr>
          <w:rFonts w:cs="Arial"/>
          <w:i/>
          <w:iCs/>
        </w:rPr>
        <w:t xml:space="preserve"> dependent on each individual insured’s unique circumstances as well as applicable policy language. Whether an accident or other loss is covered by insurance is determined by the specific facts of the loss and the terms and conditions of the actual insurance policy or policies involved in the claim. References to typical terms or provisions of coverage are illustrative and may not apply to a specific situation. Please consult a legal or insurance advisor regarding specific insurance needs.</w:t>
      </w:r>
    </w:p>
    <w:sectPr w:rsidR="002F3362" w:rsidRPr="00D702FD" w:rsidSect="00D702FD">
      <w:pgSz w:w="12240" w:h="15840"/>
      <w:pgMar w:top="126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8BB"/>
    <w:multiLevelType w:val="hybridMultilevel"/>
    <w:tmpl w:val="197AE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4309E"/>
    <w:multiLevelType w:val="multilevel"/>
    <w:tmpl w:val="C32C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75A1D"/>
    <w:multiLevelType w:val="multilevel"/>
    <w:tmpl w:val="CC42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2830A1"/>
    <w:multiLevelType w:val="hybridMultilevel"/>
    <w:tmpl w:val="EBD620E2"/>
    <w:lvl w:ilvl="0" w:tplc="DB76C8D4">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D0E1F38"/>
    <w:multiLevelType w:val="hybridMultilevel"/>
    <w:tmpl w:val="7DA211C8"/>
    <w:lvl w:ilvl="0" w:tplc="D1EA938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1935D0"/>
    <w:multiLevelType w:val="multilevel"/>
    <w:tmpl w:val="68B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D5BD0"/>
    <w:multiLevelType w:val="multilevel"/>
    <w:tmpl w:val="0C42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6715614">
    <w:abstractNumId w:val="6"/>
  </w:num>
  <w:num w:numId="2" w16cid:durableId="1002392084">
    <w:abstractNumId w:val="5"/>
  </w:num>
  <w:num w:numId="3" w16cid:durableId="918170630">
    <w:abstractNumId w:val="2"/>
  </w:num>
  <w:num w:numId="4" w16cid:durableId="1219123929">
    <w:abstractNumId w:val="1"/>
  </w:num>
  <w:num w:numId="5" w16cid:durableId="307977889">
    <w:abstractNumId w:val="0"/>
  </w:num>
  <w:num w:numId="6" w16cid:durableId="626933476">
    <w:abstractNumId w:val="4"/>
  </w:num>
  <w:num w:numId="7" w16cid:durableId="2076657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EF"/>
    <w:rsid w:val="00076F6D"/>
    <w:rsid w:val="000974C3"/>
    <w:rsid w:val="00097C98"/>
    <w:rsid w:val="00211089"/>
    <w:rsid w:val="002F3362"/>
    <w:rsid w:val="00416094"/>
    <w:rsid w:val="004B0506"/>
    <w:rsid w:val="0064697C"/>
    <w:rsid w:val="00656AA2"/>
    <w:rsid w:val="006866BD"/>
    <w:rsid w:val="006C41EF"/>
    <w:rsid w:val="007867DF"/>
    <w:rsid w:val="007F7B86"/>
    <w:rsid w:val="009029AC"/>
    <w:rsid w:val="00923EDA"/>
    <w:rsid w:val="00971B22"/>
    <w:rsid w:val="00A13D58"/>
    <w:rsid w:val="00B00F14"/>
    <w:rsid w:val="00BD01D7"/>
    <w:rsid w:val="00C2621F"/>
    <w:rsid w:val="00D702FD"/>
    <w:rsid w:val="00D734E9"/>
    <w:rsid w:val="00DE50A2"/>
    <w:rsid w:val="00FF1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E2EA"/>
  <w15:chartTrackingRefBased/>
  <w15:docId w15:val="{59369FC2-867E-44F1-B3C8-E359CD4B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1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1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1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1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1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1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1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1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1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1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1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1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1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1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1EF"/>
    <w:rPr>
      <w:rFonts w:eastAsiaTheme="majorEastAsia" w:cstheme="majorBidi"/>
      <w:color w:val="272727" w:themeColor="text1" w:themeTint="D8"/>
    </w:rPr>
  </w:style>
  <w:style w:type="paragraph" w:styleId="Title">
    <w:name w:val="Title"/>
    <w:basedOn w:val="Normal"/>
    <w:next w:val="Normal"/>
    <w:link w:val="TitleChar"/>
    <w:uiPriority w:val="10"/>
    <w:qFormat/>
    <w:rsid w:val="006C41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1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1EF"/>
    <w:pPr>
      <w:spacing w:before="160"/>
      <w:jc w:val="center"/>
    </w:pPr>
    <w:rPr>
      <w:i/>
      <w:iCs/>
      <w:color w:val="404040" w:themeColor="text1" w:themeTint="BF"/>
    </w:rPr>
  </w:style>
  <w:style w:type="character" w:customStyle="1" w:styleId="QuoteChar">
    <w:name w:val="Quote Char"/>
    <w:basedOn w:val="DefaultParagraphFont"/>
    <w:link w:val="Quote"/>
    <w:uiPriority w:val="29"/>
    <w:rsid w:val="006C41EF"/>
    <w:rPr>
      <w:i/>
      <w:iCs/>
      <w:color w:val="404040" w:themeColor="text1" w:themeTint="BF"/>
    </w:rPr>
  </w:style>
  <w:style w:type="paragraph" w:styleId="ListParagraph">
    <w:name w:val="List Paragraph"/>
    <w:basedOn w:val="Normal"/>
    <w:uiPriority w:val="34"/>
    <w:qFormat/>
    <w:rsid w:val="006C41EF"/>
    <w:pPr>
      <w:ind w:left="720"/>
      <w:contextualSpacing/>
    </w:pPr>
  </w:style>
  <w:style w:type="character" w:styleId="IntenseEmphasis">
    <w:name w:val="Intense Emphasis"/>
    <w:basedOn w:val="DefaultParagraphFont"/>
    <w:uiPriority w:val="21"/>
    <w:qFormat/>
    <w:rsid w:val="006C41EF"/>
    <w:rPr>
      <w:i/>
      <w:iCs/>
      <w:color w:val="0F4761" w:themeColor="accent1" w:themeShade="BF"/>
    </w:rPr>
  </w:style>
  <w:style w:type="paragraph" w:styleId="IntenseQuote">
    <w:name w:val="Intense Quote"/>
    <w:basedOn w:val="Normal"/>
    <w:next w:val="Normal"/>
    <w:link w:val="IntenseQuoteChar"/>
    <w:uiPriority w:val="30"/>
    <w:qFormat/>
    <w:rsid w:val="006C41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1EF"/>
    <w:rPr>
      <w:i/>
      <w:iCs/>
      <w:color w:val="0F4761" w:themeColor="accent1" w:themeShade="BF"/>
    </w:rPr>
  </w:style>
  <w:style w:type="character" w:styleId="IntenseReference">
    <w:name w:val="Intense Reference"/>
    <w:basedOn w:val="DefaultParagraphFont"/>
    <w:uiPriority w:val="32"/>
    <w:qFormat/>
    <w:rsid w:val="006C41EF"/>
    <w:rPr>
      <w:b/>
      <w:bCs/>
      <w:smallCaps/>
      <w:color w:val="0F4761" w:themeColor="accent1" w:themeShade="BF"/>
      <w:spacing w:val="5"/>
    </w:rPr>
  </w:style>
  <w:style w:type="paragraph" w:styleId="Revision">
    <w:name w:val="Revision"/>
    <w:hidden/>
    <w:uiPriority w:val="99"/>
    <w:semiHidden/>
    <w:rsid w:val="00923EDA"/>
    <w:pPr>
      <w:spacing w:after="0" w:line="240" w:lineRule="auto"/>
    </w:pPr>
  </w:style>
  <w:style w:type="character" w:styleId="Hyperlink">
    <w:name w:val="Hyperlink"/>
    <w:basedOn w:val="DefaultParagraphFont"/>
    <w:uiPriority w:val="99"/>
    <w:unhideWhenUsed/>
    <w:rsid w:val="002F3362"/>
    <w:rPr>
      <w:color w:val="467886" w:themeColor="hyperlink"/>
      <w:u w:val="single"/>
    </w:rPr>
  </w:style>
  <w:style w:type="character" w:styleId="UnresolvedMention">
    <w:name w:val="Unresolved Mention"/>
    <w:basedOn w:val="DefaultParagraphFont"/>
    <w:uiPriority w:val="99"/>
    <w:semiHidden/>
    <w:unhideWhenUsed/>
    <w:rsid w:val="002F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ph.nawa@rtspecialty.com" TargetMode="External"/><Relationship Id="rId11" Type="http://schemas.openxmlformats.org/officeDocument/2006/relationships/customXml" Target="../customXml/item3.xml"/><Relationship Id="rId5" Type="http://schemas.openxmlformats.org/officeDocument/2006/relationships/hyperlink" Target="mailto:chris.bair@rtspecialty.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CF91C768CC849A8A0840F737E536D" ma:contentTypeVersion="25" ma:contentTypeDescription="Create a new document." ma:contentTypeScope="" ma:versionID="ad75b7345e48974e5cbdabd3c5eab651">
  <xsd:schema xmlns:xsd="http://www.w3.org/2001/XMLSchema" xmlns:xs="http://www.w3.org/2001/XMLSchema" xmlns:p="http://schemas.microsoft.com/office/2006/metadata/properties" xmlns:ns2="d1b05284-cf3f-4576-99a2-aa8ec7cc0ff1" xmlns:ns3="3261a78c-d450-4c7a-9054-f88071cdb3eb" targetNamespace="http://schemas.microsoft.com/office/2006/metadata/properties" ma:root="true" ma:fieldsID="4d85deb2bcd6b694f7c51888b4569ca9" ns2:_="" ns3:_="">
    <xsd:import namespace="d1b05284-cf3f-4576-99a2-aa8ec7cc0ff1"/>
    <xsd:import namespace="3261a78c-d450-4c7a-9054-f88071cdb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9qi" minOccurs="0"/>
                <xsd:element ref="ns2:sw9x"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05284-cf3f-4576-99a2-aa8ec7cc0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9qi" ma:index="20" nillable="true" ma:displayName="Date and time" ma:internalName="c9qi">
      <xsd:simpleType>
        <xsd:restriction base="dms:DateTime"/>
      </xsd:simpleType>
    </xsd:element>
    <xsd:element name="sw9x" ma:index="21" nillable="true" ma:displayName="Number" ma:internalName="sw9x">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3ef8ae-da93-4c74-b72b-0e7cc08fc1a8"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ink" ma:index="2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1a78c-d450-4c7a-9054-f88071cdb3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72d60f-c270-49f9-a675-34586b165ff6}" ma:internalName="TaxCatchAll" ma:showField="CatchAllData" ma:web="3261a78c-d450-4c7a-9054-f88071cd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05284-cf3f-4576-99a2-aa8ec7cc0ff1">
      <Terms xmlns="http://schemas.microsoft.com/office/infopath/2007/PartnerControls"/>
    </lcf76f155ced4ddcb4097134ff3c332f>
    <_Flow_SignoffStatus xmlns="d1b05284-cf3f-4576-99a2-aa8ec7cc0ff1" xsi:nil="true"/>
    <Link xmlns="d1b05284-cf3f-4576-99a2-aa8ec7cc0ff1">
      <Url xsi:nil="true"/>
      <Description xsi:nil="true"/>
    </Link>
    <TaxCatchAll xmlns="3261a78c-d450-4c7a-9054-f88071cdb3eb" xsi:nil="true"/>
    <c9qi xmlns="d1b05284-cf3f-4576-99a2-aa8ec7cc0ff1" xsi:nil="true"/>
    <sw9x xmlns="d1b05284-cf3f-4576-99a2-aa8ec7cc0ff1" xsi:nil="true"/>
  </documentManagement>
</p:properties>
</file>

<file path=customXml/itemProps1.xml><?xml version="1.0" encoding="utf-8"?>
<ds:datastoreItem xmlns:ds="http://schemas.openxmlformats.org/officeDocument/2006/customXml" ds:itemID="{4D5FFD72-35B1-46F8-BF4D-20F1E9F5EAEB}"/>
</file>

<file path=customXml/itemProps2.xml><?xml version="1.0" encoding="utf-8"?>
<ds:datastoreItem xmlns:ds="http://schemas.openxmlformats.org/officeDocument/2006/customXml" ds:itemID="{F88DA631-8025-46DA-9EDE-D469E3FD9645}"/>
</file>

<file path=customXml/itemProps3.xml><?xml version="1.0" encoding="utf-8"?>
<ds:datastoreItem xmlns:ds="http://schemas.openxmlformats.org/officeDocument/2006/customXml" ds:itemID="{67A994FE-2608-41D5-AB97-F2B6FE444840}"/>
</file>

<file path=docMetadata/LabelInfo.xml><?xml version="1.0" encoding="utf-8"?>
<clbl:labelList xmlns:clbl="http://schemas.microsoft.com/office/2020/mipLabelMetadata">
  <clbl:label id="{17a26543-d7a2-410c-be58-421ad687e5fa}" enabled="0" method="" siteId="{17a26543-d7a2-410c-be58-421ad687e5f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1142</Words>
  <Characters>6528</Characters>
  <Application>Microsoft Office Word</Application>
  <DocSecurity>0</DocSecurity>
  <Lines>104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 Chris</dc:creator>
  <cp:keywords/>
  <dc:description/>
  <cp:lastModifiedBy>Jeannine Harlow</cp:lastModifiedBy>
  <cp:revision>3</cp:revision>
  <dcterms:created xsi:type="dcterms:W3CDTF">2026-04-27T16:49:00Z</dcterms:created>
  <dcterms:modified xsi:type="dcterms:W3CDTF">2026-04-27T16:49:00Z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0x010100C15CF91C768CC849A8A0840F737E536D</vt:lpwstr>
  </property>
</Properties>
</file>