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09AC" w14:textId="7C7FB185" w:rsidR="008B2C04" w:rsidRPr="007E21C6" w:rsidRDefault="00A855BF" w:rsidP="00A855BF">
      <w:pPr>
        <w:spacing w:after="0" w:line="240" w:lineRule="auto"/>
        <w:jc w:val="center"/>
        <w:rPr>
          <w:rFonts w:ascii="Times New Roman" w:eastAsia="Times New Roman" w:hAnsi="Times New Roman" w:cs="Times New Roman"/>
          <w:i/>
          <w:color w:val="000000"/>
          <w:sz w:val="24"/>
          <w:szCs w:val="24"/>
        </w:rPr>
      </w:pPr>
      <w:r w:rsidRPr="007E21C6">
        <w:rPr>
          <w:rFonts w:ascii="Times New Roman" w:hAnsi="Times New Roman" w:cs="Times New Roman"/>
          <w:noProof/>
          <w:sz w:val="24"/>
          <w:szCs w:val="24"/>
        </w:rPr>
        <w:drawing>
          <wp:inline distT="0" distB="0" distL="0" distR="0" wp14:anchorId="49CA2710" wp14:editId="6B497271">
            <wp:extent cx="4657646" cy="1285875"/>
            <wp:effectExtent l="0" t="0" r="0" b="0"/>
            <wp:docPr id="1565045856"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798" cy="1286193"/>
                    </a:xfrm>
                    <a:prstGeom prst="rect">
                      <a:avLst/>
                    </a:prstGeom>
                    <a:noFill/>
                  </pic:spPr>
                </pic:pic>
              </a:graphicData>
            </a:graphic>
          </wp:inline>
        </w:drawing>
      </w:r>
    </w:p>
    <w:p w14:paraId="0114E61B" w14:textId="77777777" w:rsidR="00E07EA4" w:rsidRPr="007E21C6" w:rsidRDefault="00E07EA4" w:rsidP="00E07EA4">
      <w:pPr>
        <w:spacing w:after="0" w:line="240" w:lineRule="auto"/>
        <w:rPr>
          <w:rFonts w:ascii="Times New Roman" w:eastAsia="Times New Roman" w:hAnsi="Times New Roman" w:cs="Times New Roman"/>
          <w:b/>
          <w:i/>
          <w:sz w:val="24"/>
          <w:szCs w:val="24"/>
        </w:rPr>
      </w:pPr>
    </w:p>
    <w:p w14:paraId="03B32DE0" w14:textId="27694E75" w:rsidR="005E4C12" w:rsidRPr="007E21C6" w:rsidRDefault="00303A76" w:rsidP="002C5554">
      <w:pPr>
        <w:shd w:val="clear" w:color="auto" w:fill="FFFFFF"/>
        <w:spacing w:before="180" w:after="0" w:line="240" w:lineRule="auto"/>
        <w:jc w:val="center"/>
        <w:rPr>
          <w:rFonts w:ascii="Times New Roman" w:eastAsia="Times New Roman" w:hAnsi="Times New Roman" w:cs="Times New Roman"/>
          <w:color w:val="111111"/>
          <w:sz w:val="24"/>
          <w:szCs w:val="24"/>
          <w:u w:val="single"/>
        </w:rPr>
      </w:pPr>
      <w:r w:rsidRPr="007E21C6">
        <w:rPr>
          <w:rFonts w:ascii="Times New Roman" w:eastAsia="Times New Roman" w:hAnsi="Times New Roman" w:cs="Times New Roman"/>
          <w:b/>
          <w:bCs/>
          <w:color w:val="111111"/>
          <w:sz w:val="24"/>
          <w:szCs w:val="24"/>
          <w:u w:val="single"/>
        </w:rPr>
        <w:t xml:space="preserve">A/E Firm </w:t>
      </w:r>
      <w:r w:rsidR="005E4C12" w:rsidRPr="007E21C6">
        <w:rPr>
          <w:rFonts w:ascii="Times New Roman" w:eastAsia="Times New Roman" w:hAnsi="Times New Roman" w:cs="Times New Roman"/>
          <w:b/>
          <w:bCs/>
          <w:color w:val="111111"/>
          <w:sz w:val="24"/>
          <w:szCs w:val="24"/>
          <w:u w:val="single"/>
        </w:rPr>
        <w:t>Merg</w:t>
      </w:r>
      <w:r w:rsidR="002C5554" w:rsidRPr="007E21C6">
        <w:rPr>
          <w:rFonts w:ascii="Times New Roman" w:eastAsia="Times New Roman" w:hAnsi="Times New Roman" w:cs="Times New Roman"/>
          <w:b/>
          <w:bCs/>
          <w:color w:val="111111"/>
          <w:sz w:val="24"/>
          <w:szCs w:val="24"/>
          <w:u w:val="single"/>
        </w:rPr>
        <w:t>ers &amp; Acquisitions</w:t>
      </w:r>
      <w:r w:rsidRPr="007E21C6">
        <w:rPr>
          <w:rFonts w:ascii="Times New Roman" w:eastAsia="Times New Roman" w:hAnsi="Times New Roman" w:cs="Times New Roman"/>
          <w:b/>
          <w:bCs/>
          <w:color w:val="111111"/>
          <w:sz w:val="24"/>
          <w:szCs w:val="24"/>
          <w:u w:val="single"/>
        </w:rPr>
        <w:t xml:space="preserve">: Pitfalls to </w:t>
      </w:r>
      <w:r w:rsidR="007E21C6" w:rsidRPr="007E21C6">
        <w:rPr>
          <w:rFonts w:ascii="Times New Roman" w:eastAsia="Times New Roman" w:hAnsi="Times New Roman" w:cs="Times New Roman"/>
          <w:b/>
          <w:bCs/>
          <w:color w:val="111111"/>
          <w:sz w:val="24"/>
          <w:szCs w:val="24"/>
          <w:u w:val="single"/>
        </w:rPr>
        <w:t>Avoid</w:t>
      </w:r>
    </w:p>
    <w:p w14:paraId="1AB9945B" w14:textId="26422C28" w:rsidR="005E4C12" w:rsidRPr="007E21C6" w:rsidRDefault="00144FA3"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Navigating the complexities of M</w:t>
      </w:r>
      <w:r w:rsidR="005E4C12" w:rsidRPr="007E21C6">
        <w:rPr>
          <w:rFonts w:ascii="Times New Roman" w:eastAsia="Times New Roman" w:hAnsi="Times New Roman" w:cs="Times New Roman"/>
          <w:color w:val="111111"/>
          <w:sz w:val="24"/>
          <w:szCs w:val="24"/>
        </w:rPr>
        <w:t xml:space="preserve">ergers and </w:t>
      </w:r>
      <w:r w:rsidRPr="007E21C6">
        <w:rPr>
          <w:rFonts w:ascii="Times New Roman" w:eastAsia="Times New Roman" w:hAnsi="Times New Roman" w:cs="Times New Roman"/>
          <w:color w:val="111111"/>
          <w:sz w:val="24"/>
          <w:szCs w:val="24"/>
        </w:rPr>
        <w:t>A</w:t>
      </w:r>
      <w:r w:rsidR="005E4C12" w:rsidRPr="007E21C6">
        <w:rPr>
          <w:rFonts w:ascii="Times New Roman" w:eastAsia="Times New Roman" w:hAnsi="Times New Roman" w:cs="Times New Roman"/>
          <w:color w:val="111111"/>
          <w:sz w:val="24"/>
          <w:szCs w:val="24"/>
        </w:rPr>
        <w:t>cquisitions (M&amp;A)</w:t>
      </w:r>
      <w:r w:rsidR="00886684" w:rsidRPr="007E21C6">
        <w:rPr>
          <w:rFonts w:ascii="Times New Roman" w:eastAsia="Times New Roman" w:hAnsi="Times New Roman" w:cs="Times New Roman"/>
          <w:color w:val="111111"/>
          <w:sz w:val="24"/>
          <w:szCs w:val="24"/>
        </w:rPr>
        <w:t xml:space="preserve"> </w:t>
      </w:r>
      <w:r w:rsidR="008945DD">
        <w:rPr>
          <w:rFonts w:ascii="Times New Roman" w:eastAsia="Times New Roman" w:hAnsi="Times New Roman" w:cs="Times New Roman"/>
          <w:color w:val="111111"/>
          <w:sz w:val="24"/>
          <w:szCs w:val="24"/>
        </w:rPr>
        <w:t xml:space="preserve">involving </w:t>
      </w:r>
      <w:r w:rsidR="00886684" w:rsidRPr="007E21C6">
        <w:rPr>
          <w:rFonts w:ascii="Times New Roman" w:eastAsia="Times New Roman" w:hAnsi="Times New Roman" w:cs="Times New Roman"/>
          <w:color w:val="111111"/>
          <w:sz w:val="24"/>
          <w:szCs w:val="24"/>
        </w:rPr>
        <w:t>design firms</w:t>
      </w:r>
      <w:r w:rsidR="005E4C12" w:rsidRPr="007E21C6">
        <w:rPr>
          <w:rFonts w:ascii="Times New Roman" w:eastAsia="Times New Roman" w:hAnsi="Times New Roman" w:cs="Times New Roman"/>
          <w:color w:val="111111"/>
          <w:sz w:val="24"/>
          <w:szCs w:val="24"/>
        </w:rPr>
        <w:t xml:space="preserve"> can often feel like </w:t>
      </w:r>
      <w:r w:rsidR="005A014B" w:rsidRPr="007E21C6">
        <w:rPr>
          <w:rFonts w:ascii="Times New Roman" w:eastAsia="Times New Roman" w:hAnsi="Times New Roman" w:cs="Times New Roman"/>
          <w:color w:val="111111"/>
          <w:sz w:val="24"/>
          <w:szCs w:val="24"/>
        </w:rPr>
        <w:t xml:space="preserve">trying to </w:t>
      </w:r>
      <w:r w:rsidR="005E4C12" w:rsidRPr="007E21C6">
        <w:rPr>
          <w:rFonts w:ascii="Times New Roman" w:eastAsia="Times New Roman" w:hAnsi="Times New Roman" w:cs="Times New Roman"/>
          <w:color w:val="111111"/>
          <w:sz w:val="24"/>
          <w:szCs w:val="24"/>
        </w:rPr>
        <w:t>orchestrat</w:t>
      </w:r>
      <w:r w:rsidR="005A014B" w:rsidRPr="007E21C6">
        <w:rPr>
          <w:rFonts w:ascii="Times New Roman" w:eastAsia="Times New Roman" w:hAnsi="Times New Roman" w:cs="Times New Roman"/>
          <w:color w:val="111111"/>
          <w:sz w:val="24"/>
          <w:szCs w:val="24"/>
        </w:rPr>
        <w:t>e</w:t>
      </w:r>
      <w:r w:rsidR="005E4C12" w:rsidRPr="007E21C6">
        <w:rPr>
          <w:rFonts w:ascii="Times New Roman" w:eastAsia="Times New Roman" w:hAnsi="Times New Roman" w:cs="Times New Roman"/>
          <w:color w:val="111111"/>
          <w:sz w:val="24"/>
          <w:szCs w:val="24"/>
        </w:rPr>
        <w:t xml:space="preserve"> a symphony </w:t>
      </w:r>
      <w:r w:rsidRPr="007E21C6">
        <w:rPr>
          <w:rFonts w:ascii="Times New Roman" w:eastAsia="Times New Roman" w:hAnsi="Times New Roman" w:cs="Times New Roman"/>
          <w:color w:val="111111"/>
          <w:sz w:val="24"/>
          <w:szCs w:val="24"/>
        </w:rPr>
        <w:t>amid</w:t>
      </w:r>
      <w:r w:rsidR="007E21C6" w:rsidRPr="007E21C6">
        <w:rPr>
          <w:rFonts w:ascii="Times New Roman" w:eastAsia="Times New Roman" w:hAnsi="Times New Roman" w:cs="Times New Roman"/>
          <w:color w:val="111111"/>
          <w:sz w:val="24"/>
          <w:szCs w:val="24"/>
        </w:rPr>
        <w:t>st a pile of</w:t>
      </w:r>
      <w:r w:rsidR="005E4C12" w:rsidRPr="007E21C6">
        <w:rPr>
          <w:rFonts w:ascii="Times New Roman" w:eastAsia="Times New Roman" w:hAnsi="Times New Roman" w:cs="Times New Roman"/>
          <w:color w:val="111111"/>
          <w:sz w:val="24"/>
          <w:szCs w:val="24"/>
        </w:rPr>
        <w:t xml:space="preserve"> </w:t>
      </w:r>
      <w:r w:rsidR="00117ABC" w:rsidRPr="007E21C6">
        <w:rPr>
          <w:rFonts w:ascii="Times New Roman" w:eastAsia="Times New Roman" w:hAnsi="Times New Roman" w:cs="Times New Roman"/>
          <w:color w:val="111111"/>
          <w:sz w:val="24"/>
          <w:szCs w:val="24"/>
        </w:rPr>
        <w:t>rubble</w:t>
      </w:r>
      <w:r w:rsidR="005E4C12" w:rsidRPr="007E21C6">
        <w:rPr>
          <w:rFonts w:ascii="Times New Roman" w:eastAsia="Times New Roman" w:hAnsi="Times New Roman" w:cs="Times New Roman"/>
          <w:color w:val="111111"/>
          <w:sz w:val="24"/>
          <w:szCs w:val="24"/>
        </w:rPr>
        <w:t xml:space="preserve">. </w:t>
      </w:r>
      <w:r w:rsidR="00451227" w:rsidRPr="007E21C6">
        <w:rPr>
          <w:rFonts w:ascii="Times New Roman" w:eastAsia="Times New Roman" w:hAnsi="Times New Roman" w:cs="Times New Roman"/>
          <w:color w:val="111111"/>
          <w:sz w:val="24"/>
          <w:szCs w:val="24"/>
        </w:rPr>
        <w:t>H</w:t>
      </w:r>
      <w:r w:rsidR="009150D6" w:rsidRPr="007E21C6">
        <w:rPr>
          <w:rFonts w:ascii="Times New Roman" w:eastAsia="Times New Roman" w:hAnsi="Times New Roman" w:cs="Times New Roman"/>
          <w:color w:val="111111"/>
          <w:sz w:val="24"/>
          <w:szCs w:val="24"/>
        </w:rPr>
        <w:t>owever</w:t>
      </w:r>
      <w:r w:rsidR="005E4C12" w:rsidRPr="007E21C6">
        <w:rPr>
          <w:rFonts w:ascii="Times New Roman" w:eastAsia="Times New Roman" w:hAnsi="Times New Roman" w:cs="Times New Roman"/>
          <w:color w:val="111111"/>
          <w:sz w:val="24"/>
          <w:szCs w:val="24"/>
        </w:rPr>
        <w:t xml:space="preserve">, </w:t>
      </w:r>
      <w:r w:rsidR="00F6392F" w:rsidRPr="007E21C6">
        <w:rPr>
          <w:rFonts w:ascii="Times New Roman" w:eastAsia="Times New Roman" w:hAnsi="Times New Roman" w:cs="Times New Roman"/>
          <w:color w:val="111111"/>
          <w:sz w:val="24"/>
          <w:szCs w:val="24"/>
        </w:rPr>
        <w:t>a beautiful</w:t>
      </w:r>
      <w:r w:rsidR="005E4C12" w:rsidRPr="007E21C6">
        <w:rPr>
          <w:rFonts w:ascii="Times New Roman" w:eastAsia="Times New Roman" w:hAnsi="Times New Roman" w:cs="Times New Roman"/>
          <w:color w:val="111111"/>
          <w:sz w:val="24"/>
          <w:szCs w:val="24"/>
        </w:rPr>
        <w:t xml:space="preserve"> </w:t>
      </w:r>
      <w:r w:rsidR="00A23ECA" w:rsidRPr="007E21C6">
        <w:rPr>
          <w:rFonts w:ascii="Times New Roman" w:eastAsia="Times New Roman" w:hAnsi="Times New Roman" w:cs="Times New Roman"/>
          <w:color w:val="111111"/>
          <w:sz w:val="24"/>
          <w:szCs w:val="24"/>
        </w:rPr>
        <w:t xml:space="preserve">symphony </w:t>
      </w:r>
      <w:r w:rsidR="00F6392F" w:rsidRPr="007E21C6">
        <w:rPr>
          <w:rFonts w:ascii="Times New Roman" w:eastAsia="Times New Roman" w:hAnsi="Times New Roman" w:cs="Times New Roman"/>
          <w:color w:val="111111"/>
          <w:sz w:val="24"/>
          <w:szCs w:val="24"/>
        </w:rPr>
        <w:t>can be had</w:t>
      </w:r>
      <w:r w:rsidR="00451227" w:rsidRPr="007E21C6">
        <w:rPr>
          <w:rFonts w:ascii="Times New Roman" w:eastAsia="Times New Roman" w:hAnsi="Times New Roman" w:cs="Times New Roman"/>
          <w:color w:val="111111"/>
          <w:sz w:val="24"/>
          <w:szCs w:val="24"/>
        </w:rPr>
        <w:t xml:space="preserve"> with appropriate strategies and insights</w:t>
      </w:r>
      <w:r w:rsidR="005E4C12" w:rsidRPr="007E21C6">
        <w:rPr>
          <w:rFonts w:ascii="Times New Roman" w:eastAsia="Times New Roman" w:hAnsi="Times New Roman" w:cs="Times New Roman"/>
          <w:color w:val="111111"/>
          <w:sz w:val="24"/>
          <w:szCs w:val="24"/>
        </w:rPr>
        <w:t xml:space="preserve">. </w:t>
      </w:r>
      <w:r w:rsidR="00451227" w:rsidRPr="007E21C6">
        <w:rPr>
          <w:rFonts w:ascii="Times New Roman" w:eastAsia="Times New Roman" w:hAnsi="Times New Roman" w:cs="Times New Roman"/>
          <w:color w:val="111111"/>
          <w:sz w:val="24"/>
          <w:szCs w:val="24"/>
        </w:rPr>
        <w:t xml:space="preserve">It is of vital importance the firms involved have qualified legal and insurance assistance before beginning this journey.  Not all lawyers nor all insurance agents possess such qualifications.  </w:t>
      </w:r>
      <w:r w:rsidR="005E4C12" w:rsidRPr="007E21C6">
        <w:rPr>
          <w:rFonts w:ascii="Times New Roman" w:eastAsia="Times New Roman" w:hAnsi="Times New Roman" w:cs="Times New Roman"/>
          <w:color w:val="111111"/>
          <w:sz w:val="24"/>
          <w:szCs w:val="24"/>
        </w:rPr>
        <w:t xml:space="preserve">This newsletter delves into the key </w:t>
      </w:r>
      <w:r w:rsidRPr="007E21C6">
        <w:rPr>
          <w:rFonts w:ascii="Times New Roman" w:eastAsia="Times New Roman" w:hAnsi="Times New Roman" w:cs="Times New Roman"/>
          <w:color w:val="111111"/>
          <w:sz w:val="24"/>
          <w:szCs w:val="24"/>
        </w:rPr>
        <w:t xml:space="preserve">insurance considerations of M&amp;A and </w:t>
      </w:r>
      <w:r w:rsidR="005E4C12" w:rsidRPr="007E21C6">
        <w:rPr>
          <w:rFonts w:ascii="Times New Roman" w:eastAsia="Times New Roman" w:hAnsi="Times New Roman" w:cs="Times New Roman"/>
          <w:color w:val="111111"/>
          <w:sz w:val="24"/>
          <w:szCs w:val="24"/>
        </w:rPr>
        <w:t>provid</w:t>
      </w:r>
      <w:r w:rsidRPr="007E21C6">
        <w:rPr>
          <w:rFonts w:ascii="Times New Roman" w:eastAsia="Times New Roman" w:hAnsi="Times New Roman" w:cs="Times New Roman"/>
          <w:color w:val="111111"/>
          <w:sz w:val="24"/>
          <w:szCs w:val="24"/>
        </w:rPr>
        <w:t>es</w:t>
      </w:r>
      <w:r w:rsidR="005E4C12" w:rsidRPr="007E21C6">
        <w:rPr>
          <w:rFonts w:ascii="Times New Roman" w:eastAsia="Times New Roman" w:hAnsi="Times New Roman" w:cs="Times New Roman"/>
          <w:color w:val="111111"/>
          <w:sz w:val="24"/>
          <w:szCs w:val="24"/>
        </w:rPr>
        <w:t xml:space="preserve"> a guide to ensure smooth and successful transactions.</w:t>
      </w:r>
      <w:r w:rsidR="00A23ECA" w:rsidRPr="007E21C6">
        <w:rPr>
          <w:rFonts w:ascii="Times New Roman" w:eastAsia="Times New Roman" w:hAnsi="Times New Roman" w:cs="Times New Roman"/>
          <w:color w:val="111111"/>
          <w:sz w:val="24"/>
          <w:szCs w:val="24"/>
        </w:rPr>
        <w:t xml:space="preserve">  Failure to </w:t>
      </w:r>
      <w:r w:rsidR="00522CF5" w:rsidRPr="007E21C6">
        <w:rPr>
          <w:rFonts w:ascii="Times New Roman" w:eastAsia="Times New Roman" w:hAnsi="Times New Roman" w:cs="Times New Roman"/>
          <w:color w:val="111111"/>
          <w:sz w:val="24"/>
          <w:szCs w:val="24"/>
        </w:rPr>
        <w:t xml:space="preserve">properly address these issues can result in </w:t>
      </w:r>
      <w:r w:rsidR="004261C1" w:rsidRPr="007E21C6">
        <w:rPr>
          <w:rFonts w:ascii="Times New Roman" w:eastAsia="Times New Roman" w:hAnsi="Times New Roman" w:cs="Times New Roman"/>
          <w:color w:val="111111"/>
          <w:sz w:val="24"/>
          <w:szCs w:val="24"/>
        </w:rPr>
        <w:t>significant, uninsured losses.</w:t>
      </w:r>
    </w:p>
    <w:p w14:paraId="5C7D1B48" w14:textId="77777777" w:rsidR="005E4C12" w:rsidRPr="007E21C6" w:rsidRDefault="005E4C12" w:rsidP="005E4C12">
      <w:pPr>
        <w:shd w:val="clear" w:color="auto" w:fill="FFFFFF"/>
        <w:spacing w:before="180" w:after="0" w:line="240" w:lineRule="auto"/>
        <w:outlineLvl w:val="2"/>
        <w:rPr>
          <w:rFonts w:ascii="Times New Roman" w:eastAsia="Times New Roman" w:hAnsi="Times New Roman" w:cs="Times New Roman"/>
          <w:b/>
          <w:bCs/>
          <w:color w:val="111111"/>
          <w:sz w:val="24"/>
          <w:szCs w:val="24"/>
        </w:rPr>
      </w:pPr>
      <w:r w:rsidRPr="007E21C6">
        <w:rPr>
          <w:rFonts w:ascii="Times New Roman" w:eastAsia="Times New Roman" w:hAnsi="Times New Roman" w:cs="Times New Roman"/>
          <w:b/>
          <w:bCs/>
          <w:color w:val="111111"/>
          <w:sz w:val="24"/>
          <w:szCs w:val="24"/>
        </w:rPr>
        <w:t>Understanding the Basics</w:t>
      </w:r>
    </w:p>
    <w:p w14:paraId="468C8A26"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Key Terms:</w:t>
      </w:r>
    </w:p>
    <w:p w14:paraId="4B72F01C" w14:textId="4E6869FE" w:rsidR="00957E91" w:rsidRPr="007E21C6" w:rsidRDefault="005E4C12" w:rsidP="005E4C1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Asset Purchase:</w:t>
      </w:r>
      <w:r w:rsidRPr="007E21C6">
        <w:rPr>
          <w:rFonts w:ascii="Times New Roman" w:eastAsia="Times New Roman" w:hAnsi="Times New Roman" w:cs="Times New Roman"/>
          <w:color w:val="111111"/>
          <w:sz w:val="24"/>
          <w:szCs w:val="24"/>
        </w:rPr>
        <w:t xml:space="preserve"> This involves acquiring some or </w:t>
      </w:r>
      <w:proofErr w:type="gramStart"/>
      <w:r w:rsidRPr="007E21C6">
        <w:rPr>
          <w:rFonts w:ascii="Times New Roman" w:eastAsia="Times New Roman" w:hAnsi="Times New Roman" w:cs="Times New Roman"/>
          <w:color w:val="111111"/>
          <w:sz w:val="24"/>
          <w:szCs w:val="24"/>
        </w:rPr>
        <w:t>all of</w:t>
      </w:r>
      <w:proofErr w:type="gramEnd"/>
      <w:r w:rsidRPr="007E21C6">
        <w:rPr>
          <w:rFonts w:ascii="Times New Roman" w:eastAsia="Times New Roman" w:hAnsi="Times New Roman" w:cs="Times New Roman"/>
          <w:color w:val="111111"/>
          <w:sz w:val="24"/>
          <w:szCs w:val="24"/>
        </w:rPr>
        <w:t xml:space="preserve"> </w:t>
      </w:r>
      <w:r w:rsidR="00957E91" w:rsidRPr="007E21C6">
        <w:rPr>
          <w:rFonts w:ascii="Times New Roman" w:eastAsia="Times New Roman" w:hAnsi="Times New Roman" w:cs="Times New Roman"/>
          <w:color w:val="111111"/>
          <w:sz w:val="24"/>
          <w:szCs w:val="24"/>
        </w:rPr>
        <w:t>a company's assets</w:t>
      </w:r>
      <w:r w:rsidRPr="007E21C6">
        <w:rPr>
          <w:rFonts w:ascii="Times New Roman" w:eastAsia="Times New Roman" w:hAnsi="Times New Roman" w:cs="Times New Roman"/>
          <w:color w:val="111111"/>
          <w:sz w:val="24"/>
          <w:szCs w:val="24"/>
        </w:rPr>
        <w:t xml:space="preserve"> without taking on its liabilities. It’s a way to gain valuable assets while avoiding potential legal and financial burdens.</w:t>
      </w:r>
    </w:p>
    <w:p w14:paraId="4D3FEA4E" w14:textId="7A0FA8F2" w:rsidR="005E4C12" w:rsidRPr="007E21C6" w:rsidRDefault="005E4C12" w:rsidP="005E4C1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Stock Purchase:</w:t>
      </w:r>
      <w:r w:rsidRPr="007E21C6">
        <w:rPr>
          <w:rFonts w:ascii="Times New Roman" w:eastAsia="Times New Roman" w:hAnsi="Times New Roman" w:cs="Times New Roman"/>
          <w:color w:val="111111"/>
          <w:sz w:val="24"/>
          <w:szCs w:val="24"/>
        </w:rPr>
        <w:t xml:space="preserve"> In this type of acquisition, the buyer acquires all assets and liabilities of the purchased company. This method provides complete control over the acquired company </w:t>
      </w:r>
      <w:r w:rsidRPr="007E21C6">
        <w:rPr>
          <w:rFonts w:ascii="Times New Roman" w:eastAsia="Times New Roman" w:hAnsi="Times New Roman" w:cs="Times New Roman"/>
          <w:color w:val="111111"/>
          <w:sz w:val="24"/>
          <w:szCs w:val="24"/>
          <w:u w:val="single"/>
        </w:rPr>
        <w:t>but includes its existing obligations</w:t>
      </w:r>
      <w:r w:rsidRPr="007E21C6">
        <w:rPr>
          <w:rFonts w:ascii="Times New Roman" w:eastAsia="Times New Roman" w:hAnsi="Times New Roman" w:cs="Times New Roman"/>
          <w:color w:val="111111"/>
          <w:sz w:val="24"/>
          <w:szCs w:val="24"/>
        </w:rPr>
        <w:t>.</w:t>
      </w:r>
    </w:p>
    <w:p w14:paraId="280C813D" w14:textId="53CA8BEA" w:rsidR="005E4C12" w:rsidRPr="007E21C6" w:rsidRDefault="005E4C12" w:rsidP="005E4C1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Merger:</w:t>
      </w:r>
      <w:r w:rsidRPr="007E21C6">
        <w:rPr>
          <w:rFonts w:ascii="Times New Roman" w:eastAsia="Times New Roman" w:hAnsi="Times New Roman" w:cs="Times New Roman"/>
          <w:color w:val="111111"/>
          <w:sz w:val="24"/>
          <w:szCs w:val="24"/>
        </w:rPr>
        <w:t> This occurs when two or more companies combine to form a new entity. Mergers can</w:t>
      </w:r>
      <w:r w:rsidR="003B7970" w:rsidRPr="007E21C6">
        <w:rPr>
          <w:rFonts w:ascii="Times New Roman" w:eastAsia="Times New Roman" w:hAnsi="Times New Roman" w:cs="Times New Roman"/>
          <w:color w:val="111111"/>
          <w:sz w:val="24"/>
          <w:szCs w:val="24"/>
        </w:rPr>
        <w:t>, if done correctly,</w:t>
      </w:r>
      <w:r w:rsidRPr="007E21C6">
        <w:rPr>
          <w:rFonts w:ascii="Times New Roman" w:eastAsia="Times New Roman" w:hAnsi="Times New Roman" w:cs="Times New Roman"/>
          <w:color w:val="111111"/>
          <w:sz w:val="24"/>
          <w:szCs w:val="24"/>
        </w:rPr>
        <w:t xml:space="preserve"> create synergies and enhance market presence</w:t>
      </w:r>
      <w:r w:rsidR="003B7970" w:rsidRPr="007E21C6">
        <w:rPr>
          <w:rFonts w:ascii="Times New Roman" w:eastAsia="Times New Roman" w:hAnsi="Times New Roman" w:cs="Times New Roman"/>
          <w:color w:val="111111"/>
          <w:sz w:val="24"/>
          <w:szCs w:val="24"/>
        </w:rPr>
        <w:t>,</w:t>
      </w:r>
      <w:r w:rsidRPr="007E21C6">
        <w:rPr>
          <w:rFonts w:ascii="Times New Roman" w:eastAsia="Times New Roman" w:hAnsi="Times New Roman" w:cs="Times New Roman"/>
          <w:color w:val="111111"/>
          <w:sz w:val="24"/>
          <w:szCs w:val="24"/>
        </w:rPr>
        <w:t xml:space="preserve"> but </w:t>
      </w:r>
      <w:r w:rsidR="003B7970" w:rsidRPr="007E21C6">
        <w:rPr>
          <w:rFonts w:ascii="Times New Roman" w:eastAsia="Times New Roman" w:hAnsi="Times New Roman" w:cs="Times New Roman"/>
          <w:color w:val="111111"/>
          <w:sz w:val="24"/>
          <w:szCs w:val="24"/>
        </w:rPr>
        <w:t xml:space="preserve">they do </w:t>
      </w:r>
      <w:r w:rsidRPr="007E21C6">
        <w:rPr>
          <w:rFonts w:ascii="Times New Roman" w:eastAsia="Times New Roman" w:hAnsi="Times New Roman" w:cs="Times New Roman"/>
          <w:color w:val="111111"/>
          <w:sz w:val="24"/>
          <w:szCs w:val="24"/>
        </w:rPr>
        <w:t>require careful integration planning.</w:t>
      </w:r>
      <w:r w:rsidR="00C62E3B" w:rsidRPr="007E21C6">
        <w:rPr>
          <w:rFonts w:ascii="Times New Roman" w:eastAsia="Times New Roman" w:hAnsi="Times New Roman" w:cs="Times New Roman"/>
          <w:color w:val="111111"/>
          <w:sz w:val="24"/>
          <w:szCs w:val="24"/>
        </w:rPr>
        <w:t xml:space="preserve"> </w:t>
      </w:r>
      <w:r w:rsidR="003B7970" w:rsidRPr="007E21C6">
        <w:rPr>
          <w:rFonts w:ascii="Times New Roman" w:eastAsia="Times New Roman" w:hAnsi="Times New Roman" w:cs="Times New Roman"/>
          <w:color w:val="111111"/>
          <w:sz w:val="24"/>
          <w:szCs w:val="24"/>
        </w:rPr>
        <w:t xml:space="preserve">Failure to </w:t>
      </w:r>
      <w:r w:rsidR="00155F6B" w:rsidRPr="007E21C6">
        <w:rPr>
          <w:rFonts w:ascii="Times New Roman" w:eastAsia="Times New Roman" w:hAnsi="Times New Roman" w:cs="Times New Roman"/>
          <w:color w:val="111111"/>
          <w:sz w:val="24"/>
          <w:szCs w:val="24"/>
        </w:rPr>
        <w:t>plan appropriately often can lead to disaster or</w:t>
      </w:r>
      <w:r w:rsidR="00F44462" w:rsidRPr="007E21C6">
        <w:rPr>
          <w:rFonts w:ascii="Times New Roman" w:eastAsia="Times New Roman" w:hAnsi="Times New Roman" w:cs="Times New Roman"/>
          <w:color w:val="111111"/>
          <w:sz w:val="24"/>
          <w:szCs w:val="24"/>
        </w:rPr>
        <w:t>,</w:t>
      </w:r>
      <w:r w:rsidR="00155F6B" w:rsidRPr="007E21C6">
        <w:rPr>
          <w:rFonts w:ascii="Times New Roman" w:eastAsia="Times New Roman" w:hAnsi="Times New Roman" w:cs="Times New Roman"/>
          <w:color w:val="111111"/>
          <w:sz w:val="24"/>
          <w:szCs w:val="24"/>
        </w:rPr>
        <w:t xml:space="preserve"> at best</w:t>
      </w:r>
      <w:r w:rsidR="00F44462" w:rsidRPr="007E21C6">
        <w:rPr>
          <w:rFonts w:ascii="Times New Roman" w:eastAsia="Times New Roman" w:hAnsi="Times New Roman" w:cs="Times New Roman"/>
          <w:color w:val="111111"/>
          <w:sz w:val="24"/>
          <w:szCs w:val="24"/>
        </w:rPr>
        <w:t>,</w:t>
      </w:r>
      <w:r w:rsidR="00155F6B" w:rsidRPr="007E21C6">
        <w:rPr>
          <w:rFonts w:ascii="Times New Roman" w:eastAsia="Times New Roman" w:hAnsi="Times New Roman" w:cs="Times New Roman"/>
          <w:color w:val="111111"/>
          <w:sz w:val="24"/>
          <w:szCs w:val="24"/>
        </w:rPr>
        <w:t xml:space="preserve"> </w:t>
      </w:r>
      <w:r w:rsidR="009A2BB9" w:rsidRPr="007E21C6">
        <w:rPr>
          <w:rFonts w:ascii="Times New Roman" w:eastAsia="Times New Roman" w:hAnsi="Times New Roman" w:cs="Times New Roman"/>
          <w:color w:val="111111"/>
          <w:sz w:val="24"/>
          <w:szCs w:val="24"/>
        </w:rPr>
        <w:t>a medio</w:t>
      </w:r>
      <w:r w:rsidR="00F44462" w:rsidRPr="007E21C6">
        <w:rPr>
          <w:rFonts w:ascii="Times New Roman" w:eastAsia="Times New Roman" w:hAnsi="Times New Roman" w:cs="Times New Roman"/>
          <w:color w:val="111111"/>
          <w:sz w:val="24"/>
          <w:szCs w:val="24"/>
        </w:rPr>
        <w:t>cr</w:t>
      </w:r>
      <w:r w:rsidR="009A2BB9" w:rsidRPr="007E21C6">
        <w:rPr>
          <w:rFonts w:ascii="Times New Roman" w:eastAsia="Times New Roman" w:hAnsi="Times New Roman" w:cs="Times New Roman"/>
          <w:color w:val="111111"/>
          <w:sz w:val="24"/>
          <w:szCs w:val="24"/>
        </w:rPr>
        <w:t xml:space="preserve">e new firm.  </w:t>
      </w:r>
    </w:p>
    <w:p w14:paraId="02C6BEE8" w14:textId="77777777" w:rsidR="005E4C12" w:rsidRPr="007E21C6" w:rsidRDefault="005E4C12" w:rsidP="005E4C12">
      <w:pPr>
        <w:shd w:val="clear" w:color="auto" w:fill="FFFFFF"/>
        <w:spacing w:before="180" w:after="0" w:line="240" w:lineRule="auto"/>
        <w:outlineLvl w:val="2"/>
        <w:rPr>
          <w:rFonts w:ascii="Times New Roman" w:eastAsia="Times New Roman" w:hAnsi="Times New Roman" w:cs="Times New Roman"/>
          <w:b/>
          <w:bCs/>
          <w:color w:val="111111"/>
          <w:sz w:val="24"/>
          <w:szCs w:val="24"/>
        </w:rPr>
      </w:pPr>
      <w:r w:rsidRPr="007E21C6">
        <w:rPr>
          <w:rFonts w:ascii="Times New Roman" w:eastAsia="Times New Roman" w:hAnsi="Times New Roman" w:cs="Times New Roman"/>
          <w:b/>
          <w:bCs/>
          <w:color w:val="111111"/>
          <w:sz w:val="24"/>
          <w:szCs w:val="24"/>
        </w:rPr>
        <w:t>The Stages of an M&amp;A</w:t>
      </w:r>
    </w:p>
    <w:p w14:paraId="1D96712C"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The M&amp;A process can be broken down into several critical stages:</w:t>
      </w:r>
    </w:p>
    <w:p w14:paraId="2F8062E1" w14:textId="77777777" w:rsidR="005E4C12" w:rsidRDefault="005E4C12" w:rsidP="005E4C1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Target Evaluation:</w:t>
      </w:r>
      <w:r w:rsidRPr="007E21C6">
        <w:rPr>
          <w:rFonts w:ascii="Times New Roman" w:eastAsia="Times New Roman" w:hAnsi="Times New Roman" w:cs="Times New Roman"/>
          <w:color w:val="111111"/>
          <w:sz w:val="24"/>
          <w:szCs w:val="24"/>
        </w:rPr>
        <w:t> This initial stage involves identifying potential acquisition targets that align with the strategic goals of the acquiring company. Factors such as market position, financial health, and cultural fit are considered.</w:t>
      </w:r>
    </w:p>
    <w:p w14:paraId="0DC4BA68" w14:textId="77777777" w:rsidR="004258B4" w:rsidRDefault="004258B4" w:rsidP="004258B4">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14:paraId="7854B7A8" w14:textId="77777777" w:rsidR="004258B4" w:rsidRDefault="004258B4" w:rsidP="004258B4">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14:paraId="2FFC0615" w14:textId="77777777" w:rsidR="004258B4" w:rsidRDefault="004258B4" w:rsidP="004258B4">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14:paraId="07D1FDDD" w14:textId="77777777" w:rsidR="004258B4" w:rsidRDefault="004258B4" w:rsidP="004258B4">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14:paraId="36891BFF" w14:textId="49A9B5E8" w:rsidR="004258B4" w:rsidRDefault="004258B4" w:rsidP="00AA7A95">
      <w:pPr>
        <w:shd w:val="clear" w:color="auto" w:fill="FFFFFF"/>
        <w:spacing w:before="100" w:beforeAutospacing="1" w:after="100" w:afterAutospacing="1" w:line="240" w:lineRule="auto"/>
        <w:jc w:val="center"/>
        <w:rPr>
          <w:rFonts w:ascii="Times New Roman" w:eastAsia="Times New Roman" w:hAnsi="Times New Roman" w:cs="Times New Roman"/>
          <w:color w:val="111111"/>
          <w:sz w:val="24"/>
          <w:szCs w:val="24"/>
        </w:rPr>
      </w:pPr>
      <w:r w:rsidRPr="007E21C6">
        <w:rPr>
          <w:rFonts w:ascii="Times New Roman" w:hAnsi="Times New Roman" w:cs="Times New Roman"/>
          <w:noProof/>
          <w:sz w:val="24"/>
          <w:szCs w:val="24"/>
        </w:rPr>
        <w:drawing>
          <wp:inline distT="0" distB="0" distL="0" distR="0" wp14:anchorId="0EB46019" wp14:editId="38D75841">
            <wp:extent cx="4657646" cy="1285875"/>
            <wp:effectExtent l="0" t="0" r="0" b="0"/>
            <wp:docPr id="236843894"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798" cy="1286193"/>
                    </a:xfrm>
                    <a:prstGeom prst="rect">
                      <a:avLst/>
                    </a:prstGeom>
                    <a:noFill/>
                  </pic:spPr>
                </pic:pic>
              </a:graphicData>
            </a:graphic>
          </wp:inline>
        </w:drawing>
      </w:r>
    </w:p>
    <w:p w14:paraId="3C3AE995" w14:textId="77777777" w:rsidR="007E21C6" w:rsidRPr="007E21C6" w:rsidRDefault="007E21C6" w:rsidP="007E21C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Due Diligence:</w:t>
      </w:r>
      <w:r w:rsidRPr="007E21C6">
        <w:rPr>
          <w:rFonts w:ascii="Times New Roman" w:eastAsia="Times New Roman" w:hAnsi="Times New Roman" w:cs="Times New Roman"/>
          <w:color w:val="111111"/>
          <w:sz w:val="24"/>
          <w:szCs w:val="24"/>
        </w:rPr>
        <w:t> This is a thorough investigation conducted to verify the accuracy of the information provided by the target company. It involves reviewing financial records, legal documents, and operational data to identify any potential risks or liabilities.</w:t>
      </w:r>
    </w:p>
    <w:p w14:paraId="5BA209A2" w14:textId="02C353A7" w:rsidR="00A855BF" w:rsidRPr="007E21C6" w:rsidRDefault="005E4C12" w:rsidP="007E21C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Valuation &amp; Offer:</w:t>
      </w:r>
      <w:r w:rsidRPr="007E21C6">
        <w:rPr>
          <w:rFonts w:ascii="Times New Roman" w:eastAsia="Times New Roman" w:hAnsi="Times New Roman" w:cs="Times New Roman"/>
          <w:color w:val="111111"/>
          <w:sz w:val="24"/>
          <w:szCs w:val="24"/>
        </w:rPr>
        <w:t> Once a target is identified</w:t>
      </w:r>
      <w:r w:rsidR="007E21C6" w:rsidRPr="007E21C6">
        <w:rPr>
          <w:rFonts w:ascii="Times New Roman" w:eastAsia="Times New Roman" w:hAnsi="Times New Roman" w:cs="Times New Roman"/>
          <w:color w:val="111111"/>
          <w:sz w:val="24"/>
          <w:szCs w:val="24"/>
        </w:rPr>
        <w:t xml:space="preserve"> and due diligence is completed</w:t>
      </w:r>
      <w:r w:rsidRPr="007E21C6">
        <w:rPr>
          <w:rFonts w:ascii="Times New Roman" w:eastAsia="Times New Roman" w:hAnsi="Times New Roman" w:cs="Times New Roman"/>
          <w:color w:val="111111"/>
          <w:sz w:val="24"/>
          <w:szCs w:val="24"/>
        </w:rPr>
        <w:t>, the next step is to determine its value. This involves financial analysis and due diligence to assess the target’s worth. An offer is then made based on this valuation.</w:t>
      </w:r>
    </w:p>
    <w:p w14:paraId="14A116A0" w14:textId="77777777" w:rsidR="005E4C12" w:rsidRPr="007E21C6" w:rsidRDefault="005E4C12" w:rsidP="005E4C1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Agreement:</w:t>
      </w:r>
      <w:r w:rsidRPr="007E21C6">
        <w:rPr>
          <w:rFonts w:ascii="Times New Roman" w:eastAsia="Times New Roman" w:hAnsi="Times New Roman" w:cs="Times New Roman"/>
          <w:color w:val="111111"/>
          <w:sz w:val="24"/>
          <w:szCs w:val="24"/>
        </w:rPr>
        <w:t> After the offer is accepted, the terms of the acquisition are negotiated and finalized. This stage includes drafting and signing the purchase agreement.</w:t>
      </w:r>
    </w:p>
    <w:p w14:paraId="734FFF71" w14:textId="5B2A5AA1" w:rsidR="005E4C12" w:rsidRPr="007E21C6" w:rsidRDefault="005E4C12" w:rsidP="005E4C12">
      <w:pPr>
        <w:shd w:val="clear" w:color="auto" w:fill="FFFFFF"/>
        <w:spacing w:before="180" w:after="0" w:line="240" w:lineRule="auto"/>
        <w:outlineLvl w:val="2"/>
        <w:rPr>
          <w:rFonts w:ascii="Times New Roman" w:eastAsia="Times New Roman" w:hAnsi="Times New Roman" w:cs="Times New Roman"/>
          <w:b/>
          <w:bCs/>
          <w:color w:val="111111"/>
          <w:sz w:val="24"/>
          <w:szCs w:val="24"/>
        </w:rPr>
      </w:pPr>
      <w:r w:rsidRPr="007E21C6">
        <w:rPr>
          <w:rFonts w:ascii="Times New Roman" w:eastAsia="Times New Roman" w:hAnsi="Times New Roman" w:cs="Times New Roman"/>
          <w:b/>
          <w:bCs/>
          <w:color w:val="111111"/>
          <w:sz w:val="24"/>
          <w:szCs w:val="24"/>
        </w:rPr>
        <w:t>The Role of Insurance Brokers</w:t>
      </w:r>
    </w:p>
    <w:p w14:paraId="5F07866A" w14:textId="54961256"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 xml:space="preserve">Bringing in </w:t>
      </w:r>
      <w:r w:rsidR="00386576" w:rsidRPr="007E21C6">
        <w:rPr>
          <w:rFonts w:ascii="Times New Roman" w:eastAsia="Times New Roman" w:hAnsi="Times New Roman" w:cs="Times New Roman"/>
          <w:color w:val="111111"/>
          <w:sz w:val="24"/>
          <w:szCs w:val="24"/>
        </w:rPr>
        <w:t xml:space="preserve">your insurance </w:t>
      </w:r>
      <w:r w:rsidRPr="007E21C6">
        <w:rPr>
          <w:rFonts w:ascii="Times New Roman" w:eastAsia="Times New Roman" w:hAnsi="Times New Roman" w:cs="Times New Roman"/>
          <w:color w:val="111111"/>
          <w:sz w:val="24"/>
          <w:szCs w:val="24"/>
        </w:rPr>
        <w:t xml:space="preserve">broker early in the process can significantly enhance </w:t>
      </w:r>
      <w:r w:rsidR="002A6442" w:rsidRPr="007E21C6">
        <w:rPr>
          <w:rFonts w:ascii="Times New Roman" w:eastAsia="Times New Roman" w:hAnsi="Times New Roman" w:cs="Times New Roman"/>
          <w:color w:val="111111"/>
          <w:sz w:val="24"/>
          <w:szCs w:val="24"/>
        </w:rPr>
        <w:t xml:space="preserve">sound </w:t>
      </w:r>
      <w:r w:rsidRPr="007E21C6">
        <w:rPr>
          <w:rFonts w:ascii="Times New Roman" w:eastAsia="Times New Roman" w:hAnsi="Times New Roman" w:cs="Times New Roman"/>
          <w:color w:val="111111"/>
          <w:sz w:val="24"/>
          <w:szCs w:val="24"/>
        </w:rPr>
        <w:t xml:space="preserve">decision-making and protect stakeholder interests. </w:t>
      </w:r>
      <w:r w:rsidR="00E173A8" w:rsidRPr="007E21C6">
        <w:rPr>
          <w:rFonts w:ascii="Times New Roman" w:eastAsia="Times New Roman" w:hAnsi="Times New Roman" w:cs="Times New Roman"/>
          <w:color w:val="111111"/>
          <w:sz w:val="24"/>
          <w:szCs w:val="24"/>
        </w:rPr>
        <w:t xml:space="preserve">Experienced insurance brokers are no less </w:t>
      </w:r>
      <w:r w:rsidR="002208F8" w:rsidRPr="007E21C6">
        <w:rPr>
          <w:rFonts w:ascii="Times New Roman" w:eastAsia="Times New Roman" w:hAnsi="Times New Roman" w:cs="Times New Roman"/>
          <w:color w:val="111111"/>
          <w:sz w:val="24"/>
          <w:szCs w:val="24"/>
        </w:rPr>
        <w:t xml:space="preserve">integral </w:t>
      </w:r>
      <w:r w:rsidR="00F44462" w:rsidRPr="007E21C6">
        <w:rPr>
          <w:rFonts w:ascii="Times New Roman" w:eastAsia="Times New Roman" w:hAnsi="Times New Roman" w:cs="Times New Roman"/>
          <w:color w:val="111111"/>
          <w:sz w:val="24"/>
          <w:szCs w:val="24"/>
        </w:rPr>
        <w:t>to</w:t>
      </w:r>
      <w:r w:rsidR="002208F8" w:rsidRPr="007E21C6">
        <w:rPr>
          <w:rFonts w:ascii="Times New Roman" w:eastAsia="Times New Roman" w:hAnsi="Times New Roman" w:cs="Times New Roman"/>
          <w:color w:val="111111"/>
          <w:sz w:val="24"/>
          <w:szCs w:val="24"/>
        </w:rPr>
        <w:t xml:space="preserve"> </w:t>
      </w:r>
      <w:r w:rsidR="005B64F2" w:rsidRPr="007E21C6">
        <w:rPr>
          <w:rFonts w:ascii="Times New Roman" w:eastAsia="Times New Roman" w:hAnsi="Times New Roman" w:cs="Times New Roman"/>
          <w:color w:val="111111"/>
          <w:sz w:val="24"/>
          <w:szCs w:val="24"/>
        </w:rPr>
        <w:t>the firm's advisors</w:t>
      </w:r>
      <w:r w:rsidR="002208F8" w:rsidRPr="007E21C6">
        <w:rPr>
          <w:rFonts w:ascii="Times New Roman" w:eastAsia="Times New Roman" w:hAnsi="Times New Roman" w:cs="Times New Roman"/>
          <w:color w:val="111111"/>
          <w:sz w:val="24"/>
          <w:szCs w:val="24"/>
        </w:rPr>
        <w:t xml:space="preserve"> than an experienced </w:t>
      </w:r>
      <w:r w:rsidR="00052C57" w:rsidRPr="007E21C6">
        <w:rPr>
          <w:rFonts w:ascii="Times New Roman" w:eastAsia="Times New Roman" w:hAnsi="Times New Roman" w:cs="Times New Roman"/>
          <w:color w:val="111111"/>
          <w:sz w:val="24"/>
          <w:szCs w:val="24"/>
        </w:rPr>
        <w:t xml:space="preserve">attorney.  </w:t>
      </w:r>
      <w:r w:rsidR="00B84F17" w:rsidRPr="007E21C6">
        <w:rPr>
          <w:rFonts w:ascii="Times New Roman" w:eastAsia="Times New Roman" w:hAnsi="Times New Roman" w:cs="Times New Roman"/>
          <w:color w:val="111111"/>
          <w:sz w:val="24"/>
          <w:szCs w:val="24"/>
        </w:rPr>
        <w:t>Their knowledge of in</w:t>
      </w:r>
      <w:r w:rsidR="00F44462" w:rsidRPr="007E21C6">
        <w:rPr>
          <w:rFonts w:ascii="Times New Roman" w:eastAsia="Times New Roman" w:hAnsi="Times New Roman" w:cs="Times New Roman"/>
          <w:color w:val="111111"/>
          <w:sz w:val="24"/>
          <w:szCs w:val="24"/>
        </w:rPr>
        <w:t>s</w:t>
      </w:r>
      <w:r w:rsidR="00B84F17" w:rsidRPr="007E21C6">
        <w:rPr>
          <w:rFonts w:ascii="Times New Roman" w:eastAsia="Times New Roman" w:hAnsi="Times New Roman" w:cs="Times New Roman"/>
          <w:color w:val="111111"/>
          <w:sz w:val="24"/>
          <w:szCs w:val="24"/>
        </w:rPr>
        <w:t>urance products and first</w:t>
      </w:r>
      <w:r w:rsidR="00F44462" w:rsidRPr="007E21C6">
        <w:rPr>
          <w:rFonts w:ascii="Times New Roman" w:eastAsia="Times New Roman" w:hAnsi="Times New Roman" w:cs="Times New Roman"/>
          <w:color w:val="111111"/>
          <w:sz w:val="24"/>
          <w:szCs w:val="24"/>
        </w:rPr>
        <w:t>-</w:t>
      </w:r>
      <w:r w:rsidR="00B84F17" w:rsidRPr="007E21C6">
        <w:rPr>
          <w:rFonts w:ascii="Times New Roman" w:eastAsia="Times New Roman" w:hAnsi="Times New Roman" w:cs="Times New Roman"/>
          <w:color w:val="111111"/>
          <w:sz w:val="24"/>
          <w:szCs w:val="24"/>
        </w:rPr>
        <w:t>hand experience in M &amp; A</w:t>
      </w:r>
      <w:r w:rsidR="00097800" w:rsidRPr="007E21C6">
        <w:rPr>
          <w:rFonts w:ascii="Times New Roman" w:eastAsia="Times New Roman" w:hAnsi="Times New Roman" w:cs="Times New Roman"/>
          <w:color w:val="111111"/>
          <w:sz w:val="24"/>
          <w:szCs w:val="24"/>
        </w:rPr>
        <w:t xml:space="preserve"> can mean the difference between success and failure.</w:t>
      </w:r>
    </w:p>
    <w:p w14:paraId="3EBC84B9" w14:textId="77777777" w:rsidR="005E4C12" w:rsidRPr="007E21C6" w:rsidRDefault="005E4C12" w:rsidP="005E4C1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Identifying Potential Risks:</w:t>
      </w:r>
      <w:r w:rsidRPr="007E21C6">
        <w:rPr>
          <w:rFonts w:ascii="Times New Roman" w:eastAsia="Times New Roman" w:hAnsi="Times New Roman" w:cs="Times New Roman"/>
          <w:color w:val="111111"/>
          <w:sz w:val="24"/>
          <w:szCs w:val="24"/>
        </w:rPr>
        <w:t> Brokers help identify and assess risks associated with the acquisition, including financial, legal, and operational risks.</w:t>
      </w:r>
    </w:p>
    <w:p w14:paraId="613C7C7B" w14:textId="77777777" w:rsidR="005E4C12" w:rsidRPr="007E21C6" w:rsidRDefault="005E4C12" w:rsidP="005E4C1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Mitigating Legal &amp; Regulatory Risks:</w:t>
      </w:r>
      <w:r w:rsidRPr="007E21C6">
        <w:rPr>
          <w:rFonts w:ascii="Times New Roman" w:eastAsia="Times New Roman" w:hAnsi="Times New Roman" w:cs="Times New Roman"/>
          <w:color w:val="111111"/>
          <w:sz w:val="24"/>
          <w:szCs w:val="24"/>
        </w:rPr>
        <w:t> They ensure compliance with relevant laws and regulations, helping to avoid legal pitfalls.</w:t>
      </w:r>
    </w:p>
    <w:p w14:paraId="68805B44" w14:textId="77777777" w:rsidR="005E4C12" w:rsidRPr="007E21C6" w:rsidRDefault="005E4C12" w:rsidP="005E4C1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Preserving Value:</w:t>
      </w:r>
      <w:r w:rsidRPr="007E21C6">
        <w:rPr>
          <w:rFonts w:ascii="Times New Roman" w:eastAsia="Times New Roman" w:hAnsi="Times New Roman" w:cs="Times New Roman"/>
          <w:color w:val="111111"/>
          <w:sz w:val="24"/>
          <w:szCs w:val="24"/>
        </w:rPr>
        <w:t> Brokers work to preserve the value of the acquisition by negotiating favorable terms and conditions.</w:t>
      </w:r>
    </w:p>
    <w:p w14:paraId="1F3A1EB7" w14:textId="77777777" w:rsidR="005E4C12" w:rsidRPr="007E21C6" w:rsidRDefault="005E4C12" w:rsidP="005E4C1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Ensuring Smooth Integration:</w:t>
      </w:r>
      <w:r w:rsidRPr="007E21C6">
        <w:rPr>
          <w:rFonts w:ascii="Times New Roman" w:eastAsia="Times New Roman" w:hAnsi="Times New Roman" w:cs="Times New Roman"/>
          <w:color w:val="111111"/>
          <w:sz w:val="24"/>
          <w:szCs w:val="24"/>
        </w:rPr>
        <w:t> They facilitate the integration process, ensuring that the acquired company is seamlessly incorporated into the acquiring company’s operations.</w:t>
      </w:r>
    </w:p>
    <w:p w14:paraId="13B9123F" w14:textId="77777777" w:rsidR="005E4C12" w:rsidRPr="007E21C6" w:rsidRDefault="005E4C12" w:rsidP="005E4C1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Enhancing Decision-Making:</w:t>
      </w:r>
      <w:r w:rsidRPr="007E21C6">
        <w:rPr>
          <w:rFonts w:ascii="Times New Roman" w:eastAsia="Times New Roman" w:hAnsi="Times New Roman" w:cs="Times New Roman"/>
          <w:color w:val="111111"/>
          <w:sz w:val="24"/>
          <w:szCs w:val="24"/>
        </w:rPr>
        <w:t> Brokers provide valuable insights and advice, helping decision-makers make informed choices.</w:t>
      </w:r>
    </w:p>
    <w:p w14:paraId="3DFDC477" w14:textId="77777777" w:rsidR="005E4C12" w:rsidRDefault="005E4C12" w:rsidP="005E4C1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Protecting Stakeholder Interests:</w:t>
      </w:r>
      <w:r w:rsidRPr="007E21C6">
        <w:rPr>
          <w:rFonts w:ascii="Times New Roman" w:eastAsia="Times New Roman" w:hAnsi="Times New Roman" w:cs="Times New Roman"/>
          <w:color w:val="111111"/>
          <w:sz w:val="24"/>
          <w:szCs w:val="24"/>
        </w:rPr>
        <w:t> They ensure that the interests of all stakeholders, including shareholders, employees, and customers, are protected throughout the M&amp;A process.</w:t>
      </w:r>
    </w:p>
    <w:p w14:paraId="65665FCD" w14:textId="77777777" w:rsidR="004258B4" w:rsidRDefault="004258B4" w:rsidP="004258B4">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14:paraId="07E24449" w14:textId="77777777" w:rsidR="004258B4" w:rsidRDefault="004258B4" w:rsidP="004258B4">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14:paraId="6D3B6A4A" w14:textId="77777777" w:rsidR="004258B4" w:rsidRDefault="004258B4" w:rsidP="004258B4">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14:paraId="3BEC40B5" w14:textId="77777777" w:rsidR="004258B4" w:rsidRDefault="004258B4" w:rsidP="004258B4">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14:paraId="1E0CFD06" w14:textId="7FDE7782" w:rsidR="004258B4" w:rsidRDefault="004258B4" w:rsidP="00AA7A95">
      <w:pPr>
        <w:shd w:val="clear" w:color="auto" w:fill="FFFFFF"/>
        <w:spacing w:before="100" w:beforeAutospacing="1" w:after="100" w:afterAutospacing="1" w:line="240" w:lineRule="auto"/>
        <w:jc w:val="center"/>
        <w:rPr>
          <w:rFonts w:ascii="Times New Roman" w:eastAsia="Times New Roman" w:hAnsi="Times New Roman" w:cs="Times New Roman"/>
          <w:color w:val="111111"/>
          <w:sz w:val="24"/>
          <w:szCs w:val="24"/>
        </w:rPr>
      </w:pPr>
      <w:r w:rsidRPr="007E21C6">
        <w:rPr>
          <w:rFonts w:ascii="Times New Roman" w:hAnsi="Times New Roman" w:cs="Times New Roman"/>
          <w:noProof/>
          <w:sz w:val="24"/>
          <w:szCs w:val="24"/>
        </w:rPr>
        <w:drawing>
          <wp:inline distT="0" distB="0" distL="0" distR="0" wp14:anchorId="149BA2E0" wp14:editId="31C42D63">
            <wp:extent cx="4657646" cy="1285875"/>
            <wp:effectExtent l="0" t="0" r="0" b="0"/>
            <wp:docPr id="1742273251"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798" cy="1286193"/>
                    </a:xfrm>
                    <a:prstGeom prst="rect">
                      <a:avLst/>
                    </a:prstGeom>
                    <a:noFill/>
                  </pic:spPr>
                </pic:pic>
              </a:graphicData>
            </a:graphic>
          </wp:inline>
        </w:drawing>
      </w:r>
    </w:p>
    <w:p w14:paraId="4B66F14E" w14:textId="77777777" w:rsidR="005E4C12" w:rsidRPr="007E21C6" w:rsidRDefault="005E4C12" w:rsidP="005E4C12">
      <w:pPr>
        <w:shd w:val="clear" w:color="auto" w:fill="FFFFFF"/>
        <w:spacing w:before="180" w:after="0" w:line="240" w:lineRule="auto"/>
        <w:outlineLvl w:val="2"/>
        <w:rPr>
          <w:rFonts w:ascii="Times New Roman" w:eastAsia="Times New Roman" w:hAnsi="Times New Roman" w:cs="Times New Roman"/>
          <w:b/>
          <w:bCs/>
          <w:color w:val="111111"/>
          <w:sz w:val="24"/>
          <w:szCs w:val="24"/>
        </w:rPr>
      </w:pPr>
      <w:r w:rsidRPr="007E21C6">
        <w:rPr>
          <w:rFonts w:ascii="Times New Roman" w:eastAsia="Times New Roman" w:hAnsi="Times New Roman" w:cs="Times New Roman"/>
          <w:b/>
          <w:bCs/>
          <w:color w:val="111111"/>
          <w:sz w:val="24"/>
          <w:szCs w:val="24"/>
        </w:rPr>
        <w:t>Risk Management</w:t>
      </w:r>
    </w:p>
    <w:p w14:paraId="1658C5A9" w14:textId="77777777" w:rsidR="00A855BF" w:rsidRPr="007E21C6" w:rsidRDefault="00E42B81"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 xml:space="preserve">With a design professional M&amp;A, handling policies with prior acts is crucial to ensure comprehensive coverage and mitigate potential liabilities. Prior acts coverage, often referred to as “Full Prior Acts,” allows the acquiring firm to assume responsibility for claims arising from services provided by the acquired firm before the acquisition date. </w:t>
      </w:r>
    </w:p>
    <w:p w14:paraId="474422A4" w14:textId="66A3B4DE" w:rsidR="005E4C12" w:rsidRPr="007E21C6" w:rsidRDefault="00E42B81"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 xml:space="preserve">This is particularly important in the design industry, where projects can span several years and claims may arise long after the work is completed. To effectively manage this, the acquiring firm should integrate the acquired firm’s prior acts into their existing insurance policy, ensuring continuous coverage without gaps. This approach not only provides financial protection against historical claims but also facilitates a smoother integration by maintaining consistent insurance terms and limits. Additionally, it is often more cost-effective than purchasing an Extended Reporting Period (ERP) for the acquired firm’s previous policies. By carefully evaluating and incorporating prior acts coverage, design professionals can safeguard their merged entity against unforeseen liabilities and maintain a stable risk management framework. </w:t>
      </w:r>
      <w:r w:rsidR="005E4C12" w:rsidRPr="007E21C6">
        <w:rPr>
          <w:rFonts w:ascii="Times New Roman" w:eastAsia="Times New Roman" w:hAnsi="Times New Roman" w:cs="Times New Roman"/>
          <w:color w:val="111111"/>
          <w:sz w:val="24"/>
          <w:szCs w:val="24"/>
        </w:rPr>
        <w:t>Effective risk management is essential in M&amp;A transactions. Key areas to focus on include:</w:t>
      </w:r>
    </w:p>
    <w:p w14:paraId="1BF1B73C" w14:textId="77777777" w:rsidR="005E4C12" w:rsidRPr="007E21C6" w:rsidRDefault="005E4C12" w:rsidP="005E4C1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Professional Liability:</w:t>
      </w:r>
      <w:r w:rsidRPr="007E21C6">
        <w:rPr>
          <w:rFonts w:ascii="Times New Roman" w:eastAsia="Times New Roman" w:hAnsi="Times New Roman" w:cs="Times New Roman"/>
          <w:color w:val="111111"/>
          <w:sz w:val="24"/>
          <w:szCs w:val="24"/>
        </w:rPr>
        <w:t> This insurance protects against claims of negligence or inadequate performance by professionals. It’s crucial for firms providing specialized services.</w:t>
      </w:r>
    </w:p>
    <w:p w14:paraId="230F417B" w14:textId="77777777" w:rsidR="005E4C12" w:rsidRPr="007E21C6" w:rsidRDefault="005E4C12" w:rsidP="005E4C1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Directors &amp; Officers (D&amp;O) Liability:</w:t>
      </w:r>
      <w:r w:rsidRPr="007E21C6">
        <w:rPr>
          <w:rFonts w:ascii="Times New Roman" w:eastAsia="Times New Roman" w:hAnsi="Times New Roman" w:cs="Times New Roman"/>
          <w:color w:val="111111"/>
          <w:sz w:val="24"/>
          <w:szCs w:val="24"/>
        </w:rPr>
        <w:t> This covers the personal liability of directors and officers for actions taken in their official capacity. It protects against claims related to mismanagement, breach of fiduciary duty, and other allegations.</w:t>
      </w:r>
    </w:p>
    <w:p w14:paraId="1B4FC681" w14:textId="77777777" w:rsidR="005E4C12" w:rsidRPr="007E21C6" w:rsidRDefault="005E4C12" w:rsidP="005E4C1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Employment Practices Liability (EPLI):</w:t>
      </w:r>
      <w:r w:rsidRPr="007E21C6">
        <w:rPr>
          <w:rFonts w:ascii="Times New Roman" w:eastAsia="Times New Roman" w:hAnsi="Times New Roman" w:cs="Times New Roman"/>
          <w:color w:val="111111"/>
          <w:sz w:val="24"/>
          <w:szCs w:val="24"/>
        </w:rPr>
        <w:t> This insurance protects against claims related to employment practices, such as wrongful termination, discrimination, and harassment. It’s important for maintaining a fair and compliant workplace.</w:t>
      </w:r>
    </w:p>
    <w:p w14:paraId="5E7F0CE4" w14:textId="77777777" w:rsidR="005E4C12" w:rsidRPr="007E21C6" w:rsidRDefault="005E4C12" w:rsidP="005E4C12">
      <w:pPr>
        <w:shd w:val="clear" w:color="auto" w:fill="FFFFFF"/>
        <w:spacing w:before="180" w:after="0" w:line="240" w:lineRule="auto"/>
        <w:outlineLvl w:val="2"/>
        <w:rPr>
          <w:rFonts w:ascii="Times New Roman" w:eastAsia="Times New Roman" w:hAnsi="Times New Roman" w:cs="Times New Roman"/>
          <w:b/>
          <w:bCs/>
          <w:color w:val="111111"/>
          <w:sz w:val="24"/>
          <w:szCs w:val="24"/>
        </w:rPr>
      </w:pPr>
      <w:r w:rsidRPr="007E21C6">
        <w:rPr>
          <w:rFonts w:ascii="Times New Roman" w:eastAsia="Times New Roman" w:hAnsi="Times New Roman" w:cs="Times New Roman"/>
          <w:b/>
          <w:bCs/>
          <w:color w:val="111111"/>
          <w:sz w:val="24"/>
          <w:szCs w:val="24"/>
        </w:rPr>
        <w:t>Insurance Considerations</w:t>
      </w:r>
    </w:p>
    <w:p w14:paraId="4B1E725A"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Several types of insurance are involved in M&amp;A transactions, particularly in tail coverage. It’s important to:</w:t>
      </w:r>
    </w:p>
    <w:p w14:paraId="6A15B345" w14:textId="77777777" w:rsidR="005E4C12" w:rsidRPr="007E21C6" w:rsidRDefault="005E4C12" w:rsidP="005E4C1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Obtain Copies of Current Policies:</w:t>
      </w:r>
      <w:r w:rsidRPr="007E21C6">
        <w:rPr>
          <w:rFonts w:ascii="Times New Roman" w:eastAsia="Times New Roman" w:hAnsi="Times New Roman" w:cs="Times New Roman"/>
          <w:color w:val="111111"/>
          <w:sz w:val="24"/>
          <w:szCs w:val="24"/>
        </w:rPr>
        <w:t> Review the existing insurance policies of the target company, including professional, management, and business policies.</w:t>
      </w:r>
    </w:p>
    <w:p w14:paraId="2C9EED32" w14:textId="77777777" w:rsidR="004258B4" w:rsidRPr="004258B4" w:rsidRDefault="004258B4" w:rsidP="004258B4">
      <w:pPr>
        <w:shd w:val="clear" w:color="auto" w:fill="FFFFFF"/>
        <w:spacing w:before="100" w:beforeAutospacing="1" w:after="100" w:afterAutospacing="1" w:line="240" w:lineRule="auto"/>
        <w:ind w:left="720"/>
        <w:rPr>
          <w:rFonts w:ascii="Times New Roman" w:eastAsia="Times New Roman" w:hAnsi="Times New Roman" w:cs="Times New Roman"/>
          <w:color w:val="111111"/>
          <w:sz w:val="24"/>
          <w:szCs w:val="24"/>
        </w:rPr>
      </w:pPr>
    </w:p>
    <w:p w14:paraId="2CABF669" w14:textId="2AFF5445" w:rsidR="004258B4" w:rsidRPr="004258B4" w:rsidRDefault="004258B4" w:rsidP="00AA7A95">
      <w:pPr>
        <w:shd w:val="clear" w:color="auto" w:fill="FFFFFF"/>
        <w:spacing w:before="100" w:beforeAutospacing="1" w:after="100" w:afterAutospacing="1" w:line="240" w:lineRule="auto"/>
        <w:ind w:left="720"/>
        <w:jc w:val="center"/>
        <w:rPr>
          <w:rFonts w:ascii="Times New Roman" w:eastAsia="Times New Roman" w:hAnsi="Times New Roman" w:cs="Times New Roman"/>
          <w:color w:val="111111"/>
          <w:sz w:val="24"/>
          <w:szCs w:val="24"/>
        </w:rPr>
      </w:pPr>
      <w:r w:rsidRPr="007E21C6">
        <w:rPr>
          <w:rFonts w:ascii="Times New Roman" w:hAnsi="Times New Roman" w:cs="Times New Roman"/>
          <w:noProof/>
          <w:sz w:val="24"/>
          <w:szCs w:val="24"/>
        </w:rPr>
        <w:drawing>
          <wp:inline distT="0" distB="0" distL="0" distR="0" wp14:anchorId="41F93761" wp14:editId="10CE4CB2">
            <wp:extent cx="4657646" cy="1285875"/>
            <wp:effectExtent l="0" t="0" r="0" b="0"/>
            <wp:docPr id="304620704"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798" cy="1286193"/>
                    </a:xfrm>
                    <a:prstGeom prst="rect">
                      <a:avLst/>
                    </a:prstGeom>
                    <a:noFill/>
                  </pic:spPr>
                </pic:pic>
              </a:graphicData>
            </a:graphic>
          </wp:inline>
        </w:drawing>
      </w:r>
    </w:p>
    <w:p w14:paraId="5D8B5055" w14:textId="4BB65371" w:rsidR="005E4C12" w:rsidRPr="007E21C6" w:rsidRDefault="005E4C12" w:rsidP="005E4C1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Review Last Completed Applications:</w:t>
      </w:r>
      <w:r w:rsidRPr="007E21C6">
        <w:rPr>
          <w:rFonts w:ascii="Times New Roman" w:eastAsia="Times New Roman" w:hAnsi="Times New Roman" w:cs="Times New Roman"/>
          <w:color w:val="111111"/>
          <w:sz w:val="24"/>
          <w:szCs w:val="24"/>
        </w:rPr>
        <w:t> Examine the most recent insurance applications to understand the coverage and any changes made.</w:t>
      </w:r>
    </w:p>
    <w:p w14:paraId="4495A6CB" w14:textId="77777777" w:rsidR="005E4C12" w:rsidRPr="007E21C6" w:rsidRDefault="005E4C12" w:rsidP="005E4C1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Understand Any Losses in the Previous Five Years:</w:t>
      </w:r>
      <w:r w:rsidRPr="007E21C6">
        <w:rPr>
          <w:rFonts w:ascii="Times New Roman" w:eastAsia="Times New Roman" w:hAnsi="Times New Roman" w:cs="Times New Roman"/>
          <w:color w:val="111111"/>
          <w:sz w:val="24"/>
          <w:szCs w:val="24"/>
        </w:rPr>
        <w:t> Assess the loss history to identify potential risks and liabilities.</w:t>
      </w:r>
    </w:p>
    <w:p w14:paraId="3C2C9263" w14:textId="77777777" w:rsidR="005E4C12" w:rsidRPr="007E21C6" w:rsidRDefault="005E4C12" w:rsidP="005E4C1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Ensure Brokers Are Communicating Effectively:</w:t>
      </w:r>
      <w:r w:rsidRPr="007E21C6">
        <w:rPr>
          <w:rFonts w:ascii="Times New Roman" w:eastAsia="Times New Roman" w:hAnsi="Times New Roman" w:cs="Times New Roman"/>
          <w:color w:val="111111"/>
          <w:sz w:val="24"/>
          <w:szCs w:val="24"/>
        </w:rPr>
        <w:t> Facilitate communication between brokers to ensure a smooth transition and integration of insurance coverage.</w:t>
      </w:r>
    </w:p>
    <w:p w14:paraId="14F8B53C" w14:textId="09A31252" w:rsidR="005E4C12" w:rsidRPr="007E21C6" w:rsidRDefault="005E4C12" w:rsidP="005E4C12">
      <w:pPr>
        <w:shd w:val="clear" w:color="auto" w:fill="FFFFFF"/>
        <w:spacing w:before="180" w:after="0" w:line="240" w:lineRule="auto"/>
        <w:outlineLvl w:val="2"/>
        <w:rPr>
          <w:rFonts w:ascii="Times New Roman" w:eastAsia="Times New Roman" w:hAnsi="Times New Roman" w:cs="Times New Roman"/>
          <w:b/>
          <w:bCs/>
          <w:color w:val="111111"/>
          <w:sz w:val="24"/>
          <w:szCs w:val="24"/>
        </w:rPr>
      </w:pPr>
      <w:r w:rsidRPr="007E21C6">
        <w:rPr>
          <w:rFonts w:ascii="Times New Roman" w:eastAsia="Times New Roman" w:hAnsi="Times New Roman" w:cs="Times New Roman"/>
          <w:b/>
          <w:bCs/>
          <w:color w:val="111111"/>
          <w:sz w:val="24"/>
          <w:szCs w:val="24"/>
        </w:rPr>
        <w:t>Non-Disclosure Agreements (NDAs)</w:t>
      </w:r>
    </w:p>
    <w:p w14:paraId="244D8D66"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NDAs are critical in protecting sensitive information during the M&amp;A process. Ensure that all parties involved have signed NDAs early in the process to maintain confidentiality and protect proprietary information.</w:t>
      </w:r>
    </w:p>
    <w:p w14:paraId="4E364A49" w14:textId="77777777" w:rsidR="005E4C12" w:rsidRPr="007E21C6" w:rsidRDefault="005E4C12" w:rsidP="005E4C12">
      <w:pPr>
        <w:shd w:val="clear" w:color="auto" w:fill="FFFFFF"/>
        <w:spacing w:before="180" w:after="0" w:line="240" w:lineRule="auto"/>
        <w:outlineLvl w:val="2"/>
        <w:rPr>
          <w:rFonts w:ascii="Times New Roman" w:eastAsia="Times New Roman" w:hAnsi="Times New Roman" w:cs="Times New Roman"/>
          <w:b/>
          <w:bCs/>
          <w:color w:val="111111"/>
          <w:sz w:val="24"/>
          <w:szCs w:val="24"/>
        </w:rPr>
      </w:pPr>
      <w:r w:rsidRPr="007E21C6">
        <w:rPr>
          <w:rFonts w:ascii="Times New Roman" w:eastAsia="Times New Roman" w:hAnsi="Times New Roman" w:cs="Times New Roman"/>
          <w:b/>
          <w:bCs/>
          <w:color w:val="111111"/>
          <w:sz w:val="24"/>
          <w:szCs w:val="24"/>
        </w:rPr>
        <w:t>Extended Reporting Period (ERP) vs. Stand-Alone ERP</w:t>
      </w:r>
    </w:p>
    <w:p w14:paraId="13CCB042"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Understanding the differences between ERP and Stand-Alone ERP is crucial:</w:t>
      </w:r>
    </w:p>
    <w:p w14:paraId="2E92905F" w14:textId="77777777" w:rsidR="005E4C12" w:rsidRPr="007E21C6" w:rsidRDefault="005E4C12" w:rsidP="005E4C12">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ERP:</w:t>
      </w:r>
      <w:r w:rsidRPr="007E21C6">
        <w:rPr>
          <w:rFonts w:ascii="Times New Roman" w:eastAsia="Times New Roman" w:hAnsi="Times New Roman" w:cs="Times New Roman"/>
          <w:color w:val="111111"/>
          <w:sz w:val="24"/>
          <w:szCs w:val="24"/>
        </w:rPr>
        <w:t> The Extended Reporting Period (ERP) is an extension of the current policy limits, covering claims made for prior acts before the ERP was purchased. It typically lasts 1 to 3 years, with premiums determined by the carrier. ERP provides refreshed limits but usually does not include loss prevention measures.</w:t>
      </w:r>
    </w:p>
    <w:p w14:paraId="47B94F6C" w14:textId="77777777" w:rsidR="005E4C12" w:rsidRPr="007E21C6" w:rsidRDefault="005E4C12" w:rsidP="005E4C12">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Stand-Alone ERP:</w:t>
      </w:r>
      <w:r w:rsidRPr="007E21C6">
        <w:rPr>
          <w:rFonts w:ascii="Times New Roman" w:eastAsia="Times New Roman" w:hAnsi="Times New Roman" w:cs="Times New Roman"/>
          <w:color w:val="111111"/>
          <w:sz w:val="24"/>
          <w:szCs w:val="24"/>
        </w:rPr>
        <w:t> This creates a new policy for coverage, separate from the existing policy. It covers claims made for prior acts before the tail coverage was purchased. Stand-Alone ERP is a separate policy with its own limits and premiums, often providing more comprehensive coverage.</w:t>
      </w:r>
    </w:p>
    <w:p w14:paraId="74590E8B" w14:textId="77777777" w:rsidR="007E21C6" w:rsidRPr="007E21C6" w:rsidRDefault="005E4C12" w:rsidP="007E21C6">
      <w:pPr>
        <w:spacing w:after="0" w:line="336" w:lineRule="auto"/>
        <w:rPr>
          <w:rFonts w:ascii="Times New Roman" w:eastAsia="Times New Roman" w:hAnsi="Times New Roman" w:cs="Times New Roman"/>
          <w:color w:val="000000"/>
          <w:sz w:val="24"/>
          <w:szCs w:val="24"/>
        </w:rPr>
      </w:pPr>
      <w:r w:rsidRPr="007E21C6">
        <w:rPr>
          <w:rFonts w:ascii="Times New Roman" w:eastAsia="Times New Roman" w:hAnsi="Times New Roman" w:cs="Times New Roman"/>
          <w:b/>
          <w:bCs/>
          <w:color w:val="111111"/>
          <w:sz w:val="24"/>
          <w:szCs w:val="24"/>
        </w:rPr>
        <w:t>Work In Progress (WIP)</w:t>
      </w:r>
      <w:r w:rsidR="00386576" w:rsidRPr="007E21C6">
        <w:rPr>
          <w:rFonts w:ascii="Times New Roman" w:eastAsia="Times New Roman" w:hAnsi="Times New Roman" w:cs="Times New Roman"/>
          <w:b/>
          <w:bCs/>
          <w:color w:val="111111"/>
          <w:sz w:val="24"/>
          <w:szCs w:val="24"/>
        </w:rPr>
        <w:t xml:space="preserve"> –</w:t>
      </w:r>
      <w:r w:rsidR="00386576" w:rsidRPr="007E21C6">
        <w:rPr>
          <w:rFonts w:ascii="Times New Roman" w:hAnsi="Times New Roman" w:cs="Times New Roman"/>
          <w:sz w:val="24"/>
          <w:szCs w:val="24"/>
        </w:rPr>
        <w:t xml:space="preserve"> </w:t>
      </w:r>
      <w:r w:rsidR="00E42B81" w:rsidRPr="007E21C6">
        <w:rPr>
          <w:rFonts w:ascii="Times New Roman" w:eastAsia="Arial" w:hAnsi="Times New Roman" w:cs="Times New Roman"/>
          <w:b/>
          <w:bCs/>
          <w:color w:val="000000"/>
          <w:sz w:val="24"/>
          <w:szCs w:val="24"/>
        </w:rPr>
        <w:t>How do we handle WIP in the context of Tail Coverage?</w:t>
      </w:r>
    </w:p>
    <w:p w14:paraId="2B28C3F1" w14:textId="4CE7D166" w:rsidR="005E4C12" w:rsidRDefault="00386576" w:rsidP="007E21C6">
      <w:pPr>
        <w:spacing w:after="0" w:line="336"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Recommendation: Provide a list of WIP where the new policy picks up the WIP, from start to finish; old policy to exclude projects</w:t>
      </w:r>
      <w:r w:rsidR="007E21C6" w:rsidRPr="007E21C6">
        <w:rPr>
          <w:rFonts w:ascii="Times New Roman" w:eastAsia="Times New Roman" w:hAnsi="Times New Roman" w:cs="Times New Roman"/>
          <w:color w:val="111111"/>
          <w:sz w:val="24"/>
          <w:szCs w:val="24"/>
        </w:rPr>
        <w:t xml:space="preserve">. </w:t>
      </w:r>
      <w:r w:rsidRPr="007E21C6">
        <w:rPr>
          <w:rFonts w:ascii="Times New Roman" w:eastAsia="Times New Roman" w:hAnsi="Times New Roman" w:cs="Times New Roman"/>
          <w:color w:val="111111"/>
          <w:sz w:val="24"/>
          <w:szCs w:val="24"/>
        </w:rPr>
        <w:t>Think about this: If there is a claim, do you want two carriers, policies, limits, and deductibles involved? Or just one?</w:t>
      </w:r>
    </w:p>
    <w:p w14:paraId="4EB5892D" w14:textId="77777777" w:rsidR="004258B4" w:rsidRDefault="004258B4" w:rsidP="007E21C6">
      <w:pPr>
        <w:spacing w:after="0" w:line="336" w:lineRule="auto"/>
        <w:rPr>
          <w:rFonts w:ascii="Times New Roman" w:eastAsia="Times New Roman" w:hAnsi="Times New Roman" w:cs="Times New Roman"/>
          <w:color w:val="111111"/>
          <w:sz w:val="24"/>
          <w:szCs w:val="24"/>
        </w:rPr>
      </w:pPr>
    </w:p>
    <w:p w14:paraId="5775F713" w14:textId="77777777" w:rsidR="004258B4" w:rsidRDefault="004258B4" w:rsidP="007E21C6">
      <w:pPr>
        <w:spacing w:after="0" w:line="336" w:lineRule="auto"/>
        <w:rPr>
          <w:rFonts w:ascii="Times New Roman" w:eastAsia="Times New Roman" w:hAnsi="Times New Roman" w:cs="Times New Roman"/>
          <w:color w:val="111111"/>
          <w:sz w:val="24"/>
          <w:szCs w:val="24"/>
        </w:rPr>
      </w:pPr>
    </w:p>
    <w:p w14:paraId="53E639CB" w14:textId="77777777" w:rsidR="004258B4" w:rsidRDefault="004258B4" w:rsidP="007E21C6">
      <w:pPr>
        <w:spacing w:after="0" w:line="336" w:lineRule="auto"/>
        <w:rPr>
          <w:rFonts w:ascii="Times New Roman" w:eastAsia="Times New Roman" w:hAnsi="Times New Roman" w:cs="Times New Roman"/>
          <w:color w:val="111111"/>
          <w:sz w:val="24"/>
          <w:szCs w:val="24"/>
        </w:rPr>
      </w:pPr>
    </w:p>
    <w:p w14:paraId="45FF5202" w14:textId="77777777" w:rsidR="004258B4" w:rsidRDefault="004258B4" w:rsidP="007E21C6">
      <w:pPr>
        <w:spacing w:after="0" w:line="336" w:lineRule="auto"/>
        <w:rPr>
          <w:rFonts w:ascii="Times New Roman" w:eastAsia="Times New Roman" w:hAnsi="Times New Roman" w:cs="Times New Roman"/>
          <w:color w:val="111111"/>
          <w:sz w:val="24"/>
          <w:szCs w:val="24"/>
        </w:rPr>
      </w:pPr>
    </w:p>
    <w:p w14:paraId="04EDC398" w14:textId="77777777" w:rsidR="004258B4" w:rsidRDefault="004258B4" w:rsidP="007E21C6">
      <w:pPr>
        <w:spacing w:after="0" w:line="336" w:lineRule="auto"/>
        <w:rPr>
          <w:rFonts w:ascii="Times New Roman" w:eastAsia="Times New Roman" w:hAnsi="Times New Roman" w:cs="Times New Roman"/>
          <w:color w:val="111111"/>
          <w:sz w:val="24"/>
          <w:szCs w:val="24"/>
        </w:rPr>
      </w:pPr>
    </w:p>
    <w:p w14:paraId="1FD1AB14" w14:textId="77777777" w:rsidR="004258B4" w:rsidRDefault="004258B4" w:rsidP="007E21C6">
      <w:pPr>
        <w:spacing w:after="0" w:line="336" w:lineRule="auto"/>
        <w:rPr>
          <w:rFonts w:ascii="Times New Roman" w:eastAsia="Times New Roman" w:hAnsi="Times New Roman" w:cs="Times New Roman"/>
          <w:color w:val="111111"/>
          <w:sz w:val="24"/>
          <w:szCs w:val="24"/>
        </w:rPr>
      </w:pPr>
    </w:p>
    <w:p w14:paraId="2499847C" w14:textId="4CF225EF" w:rsidR="004258B4" w:rsidRPr="007E21C6" w:rsidRDefault="004258B4" w:rsidP="007E21C6">
      <w:pPr>
        <w:spacing w:after="0" w:line="33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rPr>
        <w:tab/>
      </w:r>
      <w:r>
        <w:rPr>
          <w:rFonts w:ascii="Times New Roman" w:eastAsia="Times New Roman" w:hAnsi="Times New Roman" w:cs="Times New Roman"/>
          <w:color w:val="111111"/>
          <w:sz w:val="24"/>
          <w:szCs w:val="24"/>
        </w:rPr>
        <w:tab/>
      </w:r>
    </w:p>
    <w:p w14:paraId="32C78F61" w14:textId="77777777" w:rsidR="004258B4" w:rsidRDefault="004258B4" w:rsidP="00AA7A95">
      <w:pPr>
        <w:shd w:val="clear" w:color="auto" w:fill="FFFFFF"/>
        <w:spacing w:before="180" w:after="0" w:line="240" w:lineRule="auto"/>
        <w:jc w:val="center"/>
        <w:rPr>
          <w:rFonts w:ascii="Times New Roman" w:eastAsia="Times New Roman" w:hAnsi="Times New Roman" w:cs="Times New Roman"/>
          <w:color w:val="111111"/>
          <w:sz w:val="24"/>
          <w:szCs w:val="24"/>
        </w:rPr>
      </w:pPr>
      <w:r w:rsidRPr="007E21C6">
        <w:rPr>
          <w:rFonts w:ascii="Times New Roman" w:hAnsi="Times New Roman" w:cs="Times New Roman"/>
          <w:noProof/>
          <w:sz w:val="24"/>
          <w:szCs w:val="24"/>
        </w:rPr>
        <w:drawing>
          <wp:inline distT="0" distB="0" distL="0" distR="0" wp14:anchorId="6B0F3379" wp14:editId="41368C2A">
            <wp:extent cx="4657646" cy="1285875"/>
            <wp:effectExtent l="0" t="0" r="0" b="0"/>
            <wp:docPr id="1289023348"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798" cy="1286193"/>
                    </a:xfrm>
                    <a:prstGeom prst="rect">
                      <a:avLst/>
                    </a:prstGeom>
                    <a:noFill/>
                  </pic:spPr>
                </pic:pic>
              </a:graphicData>
            </a:graphic>
          </wp:inline>
        </w:drawing>
      </w:r>
    </w:p>
    <w:p w14:paraId="687E545E" w14:textId="77777777" w:rsidR="004258B4" w:rsidRDefault="004258B4" w:rsidP="004258B4">
      <w:pPr>
        <w:shd w:val="clear" w:color="auto" w:fill="FFFFFF"/>
        <w:spacing w:before="180" w:after="0" w:line="240" w:lineRule="auto"/>
        <w:rPr>
          <w:rFonts w:ascii="Times New Roman" w:eastAsia="Times New Roman" w:hAnsi="Times New Roman" w:cs="Times New Roman"/>
          <w:color w:val="111111"/>
          <w:sz w:val="24"/>
          <w:szCs w:val="24"/>
        </w:rPr>
      </w:pPr>
    </w:p>
    <w:p w14:paraId="71896179" w14:textId="77777777" w:rsidR="004258B4" w:rsidRDefault="004258B4" w:rsidP="004258B4">
      <w:pPr>
        <w:shd w:val="clear" w:color="auto" w:fill="FFFFFF"/>
        <w:spacing w:before="180" w:after="0" w:line="240" w:lineRule="auto"/>
        <w:rPr>
          <w:rFonts w:ascii="Times New Roman" w:eastAsia="Times New Roman" w:hAnsi="Times New Roman" w:cs="Times New Roman"/>
          <w:color w:val="111111"/>
          <w:sz w:val="24"/>
          <w:szCs w:val="24"/>
        </w:rPr>
      </w:pPr>
    </w:p>
    <w:p w14:paraId="289E49E7" w14:textId="5177872B" w:rsidR="00A855BF" w:rsidRPr="007E21C6" w:rsidRDefault="005E4C12" w:rsidP="004258B4">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Handling WIP in the context of tail coverage requires careful consideration. It’s recommended to provide a list of WIP where the new policy picks up the WIP from start to finish, excluding projects from the old policy. Key items to include are:</w:t>
      </w:r>
    </w:p>
    <w:p w14:paraId="37B8AD50" w14:textId="1646790B" w:rsidR="005E4C12" w:rsidRPr="007E21C6" w:rsidRDefault="005E4C12" w:rsidP="005E4C1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Project Name and Number</w:t>
      </w:r>
    </w:p>
    <w:p w14:paraId="42DDA543" w14:textId="77777777" w:rsidR="005E4C12" w:rsidRPr="007E21C6" w:rsidRDefault="005E4C12" w:rsidP="005E4C1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Total Contract Value</w:t>
      </w:r>
    </w:p>
    <w:p w14:paraId="4C19D4F4" w14:textId="77777777" w:rsidR="005E4C12" w:rsidRPr="007E21C6" w:rsidRDefault="005E4C12" w:rsidP="005E4C1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When Services First Began</w:t>
      </w:r>
    </w:p>
    <w:p w14:paraId="160B77C6" w14:textId="526BEE8F" w:rsidR="005E4C12" w:rsidRPr="007E21C6" w:rsidRDefault="005E4C12" w:rsidP="005E4C12">
      <w:pPr>
        <w:shd w:val="clear" w:color="auto" w:fill="FFFFFF"/>
        <w:spacing w:before="180" w:after="0" w:line="240" w:lineRule="auto"/>
        <w:outlineLvl w:val="2"/>
        <w:rPr>
          <w:rFonts w:ascii="Times New Roman" w:eastAsia="Times New Roman" w:hAnsi="Times New Roman" w:cs="Times New Roman"/>
          <w:b/>
          <w:bCs/>
          <w:color w:val="111111"/>
          <w:sz w:val="24"/>
          <w:szCs w:val="24"/>
        </w:rPr>
      </w:pPr>
      <w:r w:rsidRPr="007E21C6">
        <w:rPr>
          <w:rFonts w:ascii="Times New Roman" w:eastAsia="Times New Roman" w:hAnsi="Times New Roman" w:cs="Times New Roman"/>
          <w:b/>
          <w:bCs/>
          <w:color w:val="111111"/>
          <w:sz w:val="24"/>
          <w:szCs w:val="24"/>
        </w:rPr>
        <w:t>Case Studies</w:t>
      </w:r>
    </w:p>
    <w:p w14:paraId="6B2913B3" w14:textId="788C3B87" w:rsidR="004258B4" w:rsidRPr="00822BB4" w:rsidRDefault="00F27507" w:rsidP="00822BB4">
      <w:pPr>
        <w:shd w:val="clear" w:color="auto" w:fill="FFFFFF"/>
        <w:spacing w:before="180" w:after="0" w:line="240" w:lineRule="auto"/>
        <w:outlineLvl w:val="2"/>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 xml:space="preserve">The following examples, brief though they are, illustrate </w:t>
      </w:r>
      <w:r w:rsidR="00E1606C" w:rsidRPr="007E21C6">
        <w:rPr>
          <w:rFonts w:ascii="Times New Roman" w:eastAsia="Times New Roman" w:hAnsi="Times New Roman" w:cs="Times New Roman"/>
          <w:color w:val="111111"/>
          <w:sz w:val="24"/>
          <w:szCs w:val="24"/>
        </w:rPr>
        <w:t>potential problems and how to successfully address them.</w:t>
      </w:r>
    </w:p>
    <w:p w14:paraId="50FEA651" w14:textId="05A96058"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Case Study #1: ERP Coverage</w:t>
      </w:r>
    </w:p>
    <w:p w14:paraId="543F64E4" w14:textId="101839FB"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Scenario:</w:t>
      </w:r>
      <w:r w:rsidRPr="007E21C6">
        <w:rPr>
          <w:rFonts w:ascii="Times New Roman" w:eastAsia="Times New Roman" w:hAnsi="Times New Roman" w:cs="Times New Roman"/>
          <w:color w:val="111111"/>
          <w:sz w:val="24"/>
          <w:szCs w:val="24"/>
        </w:rPr>
        <w:t xml:space="preserve"> An architectural firm opted for an ERP when canceling </w:t>
      </w:r>
      <w:r w:rsidR="000873B1" w:rsidRPr="007E21C6">
        <w:rPr>
          <w:rFonts w:ascii="Times New Roman" w:eastAsia="Times New Roman" w:hAnsi="Times New Roman" w:cs="Times New Roman"/>
          <w:color w:val="111111"/>
          <w:sz w:val="24"/>
          <w:szCs w:val="24"/>
        </w:rPr>
        <w:t>its</w:t>
      </w:r>
      <w:r w:rsidRPr="007E21C6">
        <w:rPr>
          <w:rFonts w:ascii="Times New Roman" w:eastAsia="Times New Roman" w:hAnsi="Times New Roman" w:cs="Times New Roman"/>
          <w:color w:val="111111"/>
          <w:sz w:val="24"/>
          <w:szCs w:val="24"/>
        </w:rPr>
        <w:t xml:space="preserve"> policy. A year later, they were sued for alleged design flaws in a high-profile commercial building they had designed.</w:t>
      </w:r>
    </w:p>
    <w:p w14:paraId="1F0E5526"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Challenge:</w:t>
      </w:r>
      <w:r w:rsidRPr="007E21C6">
        <w:rPr>
          <w:rFonts w:ascii="Times New Roman" w:eastAsia="Times New Roman" w:hAnsi="Times New Roman" w:cs="Times New Roman"/>
          <w:color w:val="111111"/>
          <w:sz w:val="24"/>
          <w:szCs w:val="24"/>
        </w:rPr>
        <w:t> The firm’s professional liability insurance had ended when they closed the business, leaving them vulnerable to claims.</w:t>
      </w:r>
    </w:p>
    <w:p w14:paraId="25387AB1" w14:textId="2DD94798" w:rsidR="004258B4" w:rsidRPr="00822BB4"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Solution:</w:t>
      </w:r>
      <w:r w:rsidRPr="007E21C6">
        <w:rPr>
          <w:rFonts w:ascii="Times New Roman" w:eastAsia="Times New Roman" w:hAnsi="Times New Roman" w:cs="Times New Roman"/>
          <w:color w:val="111111"/>
          <w:sz w:val="24"/>
          <w:szCs w:val="24"/>
        </w:rPr>
        <w:t> The ERP allowed them to report the claim during the extended period, ensuring that the lawsuit was addressed and avoiding potentially crippling out-of-pocket expenses.</w:t>
      </w:r>
    </w:p>
    <w:p w14:paraId="0F35F947" w14:textId="699F742B"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Fun Fact:</w:t>
      </w:r>
      <w:r w:rsidRPr="007E21C6">
        <w:rPr>
          <w:rFonts w:ascii="Times New Roman" w:eastAsia="Times New Roman" w:hAnsi="Times New Roman" w:cs="Times New Roman"/>
          <w:color w:val="111111"/>
          <w:sz w:val="24"/>
          <w:szCs w:val="24"/>
        </w:rPr>
        <w:t xml:space="preserve"> Most professional liability policies include an Automatic Extended Reporting Period that provides a short period of extended reporting </w:t>
      </w:r>
      <w:r w:rsidR="00633545" w:rsidRPr="007E21C6">
        <w:rPr>
          <w:rFonts w:ascii="Times New Roman" w:eastAsia="Times New Roman" w:hAnsi="Times New Roman" w:cs="Times New Roman"/>
          <w:color w:val="111111"/>
          <w:sz w:val="24"/>
          <w:szCs w:val="24"/>
        </w:rPr>
        <w:t xml:space="preserve">(perhaps 30-60 days) </w:t>
      </w:r>
      <w:r w:rsidRPr="007E21C6">
        <w:rPr>
          <w:rFonts w:ascii="Times New Roman" w:eastAsia="Times New Roman" w:hAnsi="Times New Roman" w:cs="Times New Roman"/>
          <w:color w:val="111111"/>
          <w:sz w:val="24"/>
          <w:szCs w:val="24"/>
        </w:rPr>
        <w:t>for no additional premium if a policy is canceled or non-renewed by the carrier for reasons other than non-payment.</w:t>
      </w:r>
      <w:r w:rsidR="00633545" w:rsidRPr="007E21C6">
        <w:rPr>
          <w:rFonts w:ascii="Times New Roman" w:eastAsia="Times New Roman" w:hAnsi="Times New Roman" w:cs="Times New Roman"/>
          <w:color w:val="111111"/>
          <w:sz w:val="24"/>
          <w:szCs w:val="24"/>
        </w:rPr>
        <w:t xml:space="preserve">  </w:t>
      </w:r>
      <w:r w:rsidR="00FD6A1B" w:rsidRPr="007E21C6">
        <w:rPr>
          <w:rFonts w:ascii="Times New Roman" w:eastAsia="Times New Roman" w:hAnsi="Times New Roman" w:cs="Times New Roman"/>
          <w:color w:val="111111"/>
          <w:sz w:val="24"/>
          <w:szCs w:val="24"/>
        </w:rPr>
        <w:t>Many firms will purchase a longer ERP than that provided in the policy</w:t>
      </w:r>
      <w:r w:rsidR="00CB0486" w:rsidRPr="007E21C6">
        <w:rPr>
          <w:rFonts w:ascii="Times New Roman" w:eastAsia="Times New Roman" w:hAnsi="Times New Roman" w:cs="Times New Roman"/>
          <w:color w:val="111111"/>
          <w:sz w:val="24"/>
          <w:szCs w:val="24"/>
        </w:rPr>
        <w:t>,</w:t>
      </w:r>
      <w:r w:rsidR="0097161F" w:rsidRPr="007E21C6">
        <w:rPr>
          <w:rFonts w:ascii="Times New Roman" w:eastAsia="Times New Roman" w:hAnsi="Times New Roman" w:cs="Times New Roman"/>
          <w:color w:val="111111"/>
          <w:sz w:val="24"/>
          <w:szCs w:val="24"/>
        </w:rPr>
        <w:t xml:space="preserve"> believing the additional fee is well worth the longer reporting period.</w:t>
      </w:r>
    </w:p>
    <w:p w14:paraId="26FD440B" w14:textId="77777777" w:rsidR="00822BB4" w:rsidRDefault="00822BB4" w:rsidP="00822BB4">
      <w:pPr>
        <w:shd w:val="clear" w:color="auto" w:fill="FFFFFF"/>
        <w:spacing w:before="180" w:after="0" w:line="240" w:lineRule="auto"/>
        <w:jc w:val="center"/>
        <w:rPr>
          <w:rFonts w:ascii="Times New Roman" w:eastAsia="Times New Roman" w:hAnsi="Times New Roman" w:cs="Times New Roman"/>
          <w:i/>
          <w:iCs/>
          <w:color w:val="111111"/>
          <w:sz w:val="24"/>
          <w:szCs w:val="24"/>
        </w:rPr>
      </w:pPr>
      <w:r w:rsidRPr="007E21C6">
        <w:rPr>
          <w:rFonts w:ascii="Times New Roman" w:hAnsi="Times New Roman" w:cs="Times New Roman"/>
          <w:noProof/>
          <w:sz w:val="24"/>
          <w:szCs w:val="24"/>
        </w:rPr>
        <w:drawing>
          <wp:inline distT="0" distB="0" distL="0" distR="0" wp14:anchorId="243FBEC4" wp14:editId="3C8621E5">
            <wp:extent cx="4657646" cy="1285875"/>
            <wp:effectExtent l="0" t="0" r="0" b="0"/>
            <wp:docPr id="841047120"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798" cy="1286193"/>
                    </a:xfrm>
                    <a:prstGeom prst="rect">
                      <a:avLst/>
                    </a:prstGeom>
                    <a:noFill/>
                  </pic:spPr>
                </pic:pic>
              </a:graphicData>
            </a:graphic>
          </wp:inline>
        </w:drawing>
      </w:r>
    </w:p>
    <w:p w14:paraId="69C3FCA3" w14:textId="77777777" w:rsidR="00822BB4" w:rsidRDefault="00822BB4" w:rsidP="00822BB4">
      <w:pPr>
        <w:shd w:val="clear" w:color="auto" w:fill="FFFFFF"/>
        <w:spacing w:before="180" w:after="0" w:line="240" w:lineRule="auto"/>
        <w:jc w:val="center"/>
        <w:rPr>
          <w:rFonts w:ascii="Times New Roman" w:eastAsia="Times New Roman" w:hAnsi="Times New Roman" w:cs="Times New Roman"/>
          <w:i/>
          <w:iCs/>
          <w:color w:val="111111"/>
          <w:sz w:val="24"/>
          <w:szCs w:val="24"/>
        </w:rPr>
      </w:pPr>
    </w:p>
    <w:p w14:paraId="0BBA5467" w14:textId="77777777" w:rsidR="00822BB4" w:rsidRPr="007E21C6" w:rsidRDefault="00822BB4" w:rsidP="00822BB4">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Case Study #2: Stand-Alone ERP</w:t>
      </w:r>
    </w:p>
    <w:p w14:paraId="0644B2E3" w14:textId="77777777" w:rsidR="00822BB4" w:rsidRPr="007E21C6" w:rsidRDefault="00822BB4" w:rsidP="00822BB4">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Scenario:</w:t>
      </w:r>
      <w:r w:rsidRPr="007E21C6">
        <w:rPr>
          <w:rFonts w:ascii="Times New Roman" w:eastAsia="Times New Roman" w:hAnsi="Times New Roman" w:cs="Times New Roman"/>
          <w:color w:val="111111"/>
          <w:sz w:val="24"/>
          <w:szCs w:val="24"/>
        </w:rPr>
        <w:t> An engineering firm secured a 3-year Runoff policy after merging with another design firm. Prior to the merger, they had incurred a significant loss, depleting a portion of their policy limit.</w:t>
      </w:r>
    </w:p>
    <w:p w14:paraId="0B3556B7" w14:textId="5D282FF0" w:rsidR="005E4C12" w:rsidRPr="007E21C6" w:rsidRDefault="005E4C12" w:rsidP="00822BB4">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Challenge:</w:t>
      </w:r>
      <w:r w:rsidRPr="007E21C6">
        <w:rPr>
          <w:rFonts w:ascii="Times New Roman" w:eastAsia="Times New Roman" w:hAnsi="Times New Roman" w:cs="Times New Roman"/>
          <w:color w:val="111111"/>
          <w:sz w:val="24"/>
          <w:szCs w:val="24"/>
        </w:rPr>
        <w:t> A large claim was made two years after the merger, exceeding the remaining policy limits.</w:t>
      </w:r>
    </w:p>
    <w:p w14:paraId="5C6A993F" w14:textId="35E46D7A" w:rsidR="004258B4" w:rsidRDefault="005E4C12" w:rsidP="005E4C12">
      <w:pPr>
        <w:shd w:val="clear" w:color="auto" w:fill="FFFFFF"/>
        <w:spacing w:before="180" w:after="0" w:line="240" w:lineRule="auto"/>
        <w:rPr>
          <w:rFonts w:ascii="Times New Roman" w:eastAsia="Times New Roman" w:hAnsi="Times New Roman" w:cs="Times New Roman"/>
          <w:i/>
          <w:iCs/>
          <w:color w:val="111111"/>
          <w:sz w:val="24"/>
          <w:szCs w:val="24"/>
        </w:rPr>
      </w:pPr>
      <w:r w:rsidRPr="007E21C6">
        <w:rPr>
          <w:rFonts w:ascii="Times New Roman" w:eastAsia="Times New Roman" w:hAnsi="Times New Roman" w:cs="Times New Roman"/>
          <w:i/>
          <w:iCs/>
          <w:color w:val="111111"/>
          <w:sz w:val="24"/>
          <w:szCs w:val="24"/>
        </w:rPr>
        <w:t>Solution:</w:t>
      </w:r>
      <w:r w:rsidRPr="007E21C6">
        <w:rPr>
          <w:rFonts w:ascii="Times New Roman" w:eastAsia="Times New Roman" w:hAnsi="Times New Roman" w:cs="Times New Roman"/>
          <w:color w:val="111111"/>
          <w:sz w:val="24"/>
          <w:szCs w:val="24"/>
        </w:rPr>
        <w:t xml:space="preserve"> The Runoff policy refreshed </w:t>
      </w:r>
      <w:r w:rsidR="004336CA" w:rsidRPr="007E21C6">
        <w:rPr>
          <w:rFonts w:ascii="Times New Roman" w:eastAsia="Times New Roman" w:hAnsi="Times New Roman" w:cs="Times New Roman"/>
          <w:color w:val="111111"/>
          <w:sz w:val="24"/>
          <w:szCs w:val="24"/>
        </w:rPr>
        <w:t>its</w:t>
      </w:r>
      <w:r w:rsidRPr="007E21C6">
        <w:rPr>
          <w:rFonts w:ascii="Times New Roman" w:eastAsia="Times New Roman" w:hAnsi="Times New Roman" w:cs="Times New Roman"/>
          <w:color w:val="111111"/>
          <w:sz w:val="24"/>
          <w:szCs w:val="24"/>
        </w:rPr>
        <w:t xml:space="preserve"> policy limits, allowing the carrier to respond to the full damages within the Runoff’s policy limit.</w:t>
      </w:r>
    </w:p>
    <w:p w14:paraId="441C58EB" w14:textId="502CA960"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Fun Fact:</w:t>
      </w:r>
      <w:r w:rsidRPr="007E21C6">
        <w:rPr>
          <w:rFonts w:ascii="Times New Roman" w:eastAsia="Times New Roman" w:hAnsi="Times New Roman" w:cs="Times New Roman"/>
          <w:color w:val="111111"/>
          <w:sz w:val="24"/>
          <w:szCs w:val="24"/>
        </w:rPr>
        <w:t> Availability of Runoff Coverage varies in the market, and carriers may be unlikely to offer this option, particularly if a firm has incurred substantial loss activity previously.</w:t>
      </w:r>
    </w:p>
    <w:p w14:paraId="0E8C095D"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b/>
          <w:bCs/>
          <w:color w:val="111111"/>
          <w:sz w:val="24"/>
          <w:szCs w:val="24"/>
        </w:rPr>
        <w:t>Case Study #3: Prior Acts Coverage</w:t>
      </w:r>
    </w:p>
    <w:p w14:paraId="2D4FEE08"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Scenario:</w:t>
      </w:r>
      <w:r w:rsidRPr="007E21C6">
        <w:rPr>
          <w:rFonts w:ascii="Times New Roman" w:eastAsia="Times New Roman" w:hAnsi="Times New Roman" w:cs="Times New Roman"/>
          <w:color w:val="111111"/>
          <w:sz w:val="24"/>
          <w:szCs w:val="24"/>
        </w:rPr>
        <w:t> An architectural firm was acquired by another design firm via a stock purchase. Rather than purchasing an ERP, the acquired firm was added to the new firm’s policy with Full Prior Acts coverage.</w:t>
      </w:r>
    </w:p>
    <w:p w14:paraId="6E6B7A0D"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Challenge:</w:t>
      </w:r>
      <w:r w:rsidRPr="007E21C6">
        <w:rPr>
          <w:rFonts w:ascii="Times New Roman" w:eastAsia="Times New Roman" w:hAnsi="Times New Roman" w:cs="Times New Roman"/>
          <w:color w:val="111111"/>
          <w:sz w:val="24"/>
          <w:szCs w:val="24"/>
        </w:rPr>
        <w:t> A claim was made six years after the transaction, alleging negligence on a project completed seven years ago.</w:t>
      </w:r>
    </w:p>
    <w:p w14:paraId="2C363A10"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Solution:</w:t>
      </w:r>
      <w:r w:rsidRPr="007E21C6">
        <w:rPr>
          <w:rFonts w:ascii="Times New Roman" w:eastAsia="Times New Roman" w:hAnsi="Times New Roman" w:cs="Times New Roman"/>
          <w:color w:val="111111"/>
          <w:sz w:val="24"/>
          <w:szCs w:val="24"/>
        </w:rPr>
        <w:t> Full Prior Acts coverage ensured the availability of coverage for the older project work, addressing the allegations effectively.</w:t>
      </w:r>
    </w:p>
    <w:p w14:paraId="375E3CAC" w14:textId="77777777" w:rsidR="005E4C12" w:rsidRPr="007E21C6" w:rsidRDefault="005E4C12"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i/>
          <w:iCs/>
          <w:color w:val="111111"/>
          <w:sz w:val="24"/>
          <w:szCs w:val="24"/>
        </w:rPr>
        <w:t>Fun Fact:</w:t>
      </w:r>
      <w:r w:rsidRPr="007E21C6">
        <w:rPr>
          <w:rFonts w:ascii="Times New Roman" w:eastAsia="Times New Roman" w:hAnsi="Times New Roman" w:cs="Times New Roman"/>
          <w:color w:val="111111"/>
          <w:sz w:val="24"/>
          <w:szCs w:val="24"/>
        </w:rPr>
        <w:t> The cost to add a firm with Full Prior Acts can often be more cost-effective than purchasing an ERP.</w:t>
      </w:r>
    </w:p>
    <w:p w14:paraId="1FFC9317" w14:textId="77777777" w:rsidR="005E4C12" w:rsidRPr="007E21C6" w:rsidRDefault="005E4C12" w:rsidP="005E4C12">
      <w:pPr>
        <w:shd w:val="clear" w:color="auto" w:fill="FFFFFF"/>
        <w:spacing w:before="180" w:after="0" w:line="240" w:lineRule="auto"/>
        <w:outlineLvl w:val="2"/>
        <w:rPr>
          <w:rFonts w:ascii="Times New Roman" w:eastAsia="Times New Roman" w:hAnsi="Times New Roman" w:cs="Times New Roman"/>
          <w:b/>
          <w:bCs/>
          <w:color w:val="111111"/>
          <w:sz w:val="24"/>
          <w:szCs w:val="24"/>
        </w:rPr>
      </w:pPr>
      <w:r w:rsidRPr="007E21C6">
        <w:rPr>
          <w:rFonts w:ascii="Times New Roman" w:eastAsia="Times New Roman" w:hAnsi="Times New Roman" w:cs="Times New Roman"/>
          <w:b/>
          <w:bCs/>
          <w:color w:val="111111"/>
          <w:sz w:val="24"/>
          <w:szCs w:val="24"/>
        </w:rPr>
        <w:t>Conclusion</w:t>
      </w:r>
    </w:p>
    <w:p w14:paraId="37A399B9" w14:textId="04A506C8" w:rsidR="005E4C12" w:rsidRPr="007E21C6" w:rsidRDefault="009A16A8" w:rsidP="005E4C12">
      <w:pPr>
        <w:shd w:val="clear" w:color="auto" w:fill="FFFFFF"/>
        <w:spacing w:before="180" w:after="0" w:line="240" w:lineRule="auto"/>
        <w:rPr>
          <w:rFonts w:ascii="Times New Roman" w:eastAsia="Times New Roman" w:hAnsi="Times New Roman" w:cs="Times New Roman"/>
          <w:color w:val="111111"/>
          <w:sz w:val="24"/>
          <w:szCs w:val="24"/>
        </w:rPr>
      </w:pPr>
      <w:r w:rsidRPr="007E21C6">
        <w:rPr>
          <w:rFonts w:ascii="Times New Roman" w:eastAsia="Times New Roman" w:hAnsi="Times New Roman" w:cs="Times New Roman"/>
          <w:color w:val="111111"/>
          <w:sz w:val="24"/>
          <w:szCs w:val="24"/>
        </w:rPr>
        <w:t>Tail coverage and ERPs are essential in providing protection against pre-acquisition liabilities. While assuming prior acts can be cheaper, it may also be more problematic. The goal is to mitigate financial risks long-term, ensure a smooth integration, and preserve the firm’s reputation.</w:t>
      </w:r>
      <w:r w:rsidR="00822BB4">
        <w:rPr>
          <w:rFonts w:ascii="Times New Roman" w:eastAsia="Times New Roman" w:hAnsi="Times New Roman" w:cs="Times New Roman"/>
          <w:color w:val="111111"/>
          <w:sz w:val="24"/>
          <w:szCs w:val="24"/>
        </w:rPr>
        <w:t xml:space="preserve"> </w:t>
      </w:r>
      <w:r w:rsidR="005E4C12" w:rsidRPr="007E21C6">
        <w:rPr>
          <w:rFonts w:ascii="Times New Roman" w:eastAsia="Times New Roman" w:hAnsi="Times New Roman" w:cs="Times New Roman"/>
          <w:color w:val="111111"/>
          <w:sz w:val="24"/>
          <w:szCs w:val="24"/>
        </w:rPr>
        <w:t xml:space="preserve">Navigating the complexities of </w:t>
      </w:r>
      <w:r w:rsidR="002A6442" w:rsidRPr="007E21C6">
        <w:rPr>
          <w:rFonts w:ascii="Times New Roman" w:eastAsia="Times New Roman" w:hAnsi="Times New Roman" w:cs="Times New Roman"/>
          <w:color w:val="111111"/>
          <w:sz w:val="24"/>
          <w:szCs w:val="24"/>
        </w:rPr>
        <w:t xml:space="preserve">a successful </w:t>
      </w:r>
      <w:r w:rsidR="005E4C12" w:rsidRPr="007E21C6">
        <w:rPr>
          <w:rFonts w:ascii="Times New Roman" w:eastAsia="Times New Roman" w:hAnsi="Times New Roman" w:cs="Times New Roman"/>
          <w:color w:val="111111"/>
          <w:sz w:val="24"/>
          <w:szCs w:val="24"/>
        </w:rPr>
        <w:t>M&amp;A requires a strategic approach and a thorough understanding of the various elements involved</w:t>
      </w:r>
      <w:r w:rsidR="00B17B44" w:rsidRPr="007E21C6">
        <w:rPr>
          <w:rFonts w:ascii="Times New Roman" w:eastAsia="Times New Roman" w:hAnsi="Times New Roman" w:cs="Times New Roman"/>
          <w:color w:val="111111"/>
          <w:sz w:val="24"/>
          <w:szCs w:val="24"/>
        </w:rPr>
        <w:t>, including legal and insurance</w:t>
      </w:r>
      <w:r w:rsidR="005E4C12" w:rsidRPr="007E21C6">
        <w:rPr>
          <w:rFonts w:ascii="Times New Roman" w:eastAsia="Times New Roman" w:hAnsi="Times New Roman" w:cs="Times New Roman"/>
          <w:color w:val="111111"/>
          <w:sz w:val="24"/>
          <w:szCs w:val="24"/>
        </w:rPr>
        <w:t>. By focusing on risk management, effective use of brokers</w:t>
      </w:r>
      <w:r w:rsidR="00B17B44" w:rsidRPr="007E21C6">
        <w:rPr>
          <w:rFonts w:ascii="Times New Roman" w:eastAsia="Times New Roman" w:hAnsi="Times New Roman" w:cs="Times New Roman"/>
          <w:color w:val="111111"/>
          <w:sz w:val="24"/>
          <w:szCs w:val="24"/>
        </w:rPr>
        <w:t xml:space="preserve"> and legal counsel</w:t>
      </w:r>
      <w:r w:rsidR="005E4C12" w:rsidRPr="007E21C6">
        <w:rPr>
          <w:rFonts w:ascii="Times New Roman" w:eastAsia="Times New Roman" w:hAnsi="Times New Roman" w:cs="Times New Roman"/>
          <w:color w:val="111111"/>
          <w:sz w:val="24"/>
          <w:szCs w:val="24"/>
        </w:rPr>
        <w:t>, and understanding the nuances of insurance coverage, firms can achieve a harmonious and successful merger or acquisition.</w:t>
      </w:r>
    </w:p>
    <w:p w14:paraId="07328F29" w14:textId="77777777" w:rsidR="000F6FB1" w:rsidRPr="007E21C6" w:rsidRDefault="000F6FB1" w:rsidP="00460669">
      <w:pPr>
        <w:spacing w:after="0" w:line="240" w:lineRule="auto"/>
        <w:rPr>
          <w:rFonts w:ascii="Times New Roman" w:eastAsia="Times New Roman" w:hAnsi="Times New Roman" w:cs="Times New Roman"/>
          <w:bCs/>
          <w:i/>
          <w:color w:val="000000"/>
          <w:sz w:val="24"/>
          <w:szCs w:val="24"/>
        </w:rPr>
      </w:pPr>
    </w:p>
    <w:p w14:paraId="598F8762" w14:textId="77777777" w:rsidR="005D5BFF" w:rsidRPr="007E21C6" w:rsidRDefault="005D5BFF">
      <w:pPr>
        <w:rPr>
          <w:rFonts w:ascii="Times New Roman" w:hAnsi="Times New Roman" w:cs="Times New Roman"/>
          <w:bCs/>
          <w:sz w:val="24"/>
          <w:szCs w:val="24"/>
        </w:rPr>
      </w:pPr>
    </w:p>
    <w:sectPr w:rsidR="005D5BFF" w:rsidRPr="007E21C6" w:rsidSect="004269C6">
      <w:headerReference w:type="default" r:id="rId11"/>
      <w:footerReference w:type="defaul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BCC8B" w14:textId="77777777" w:rsidR="00725C39" w:rsidRDefault="00725C39">
      <w:pPr>
        <w:spacing w:after="0" w:line="240" w:lineRule="auto"/>
      </w:pPr>
      <w:r>
        <w:separator/>
      </w:r>
    </w:p>
  </w:endnote>
  <w:endnote w:type="continuationSeparator" w:id="0">
    <w:p w14:paraId="457FD3BD" w14:textId="77777777" w:rsidR="00725C39" w:rsidRDefault="0072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9AC05AA" w14:paraId="3F90A7F2" w14:textId="77777777" w:rsidTr="29AC05AA">
      <w:trPr>
        <w:trHeight w:val="300"/>
      </w:trPr>
      <w:tc>
        <w:tcPr>
          <w:tcW w:w="3120" w:type="dxa"/>
        </w:tcPr>
        <w:p w14:paraId="4E29FEBA" w14:textId="0BD24BF5" w:rsidR="29AC05AA" w:rsidRDefault="29AC05AA" w:rsidP="29AC05AA">
          <w:pPr>
            <w:pStyle w:val="Header"/>
            <w:ind w:left="-115"/>
          </w:pPr>
        </w:p>
      </w:tc>
      <w:tc>
        <w:tcPr>
          <w:tcW w:w="3120" w:type="dxa"/>
        </w:tcPr>
        <w:p w14:paraId="3151338F" w14:textId="4E0AAF05" w:rsidR="29AC05AA" w:rsidRDefault="29AC05AA" w:rsidP="29AC05AA">
          <w:pPr>
            <w:pStyle w:val="Header"/>
            <w:jc w:val="center"/>
          </w:pPr>
        </w:p>
      </w:tc>
      <w:tc>
        <w:tcPr>
          <w:tcW w:w="3120" w:type="dxa"/>
        </w:tcPr>
        <w:p w14:paraId="2BB5F43C" w14:textId="3FE21AD9" w:rsidR="29AC05AA" w:rsidRDefault="29AC05AA" w:rsidP="29AC05AA">
          <w:pPr>
            <w:pStyle w:val="Header"/>
            <w:ind w:right="-115"/>
            <w:jc w:val="right"/>
          </w:pPr>
        </w:p>
      </w:tc>
    </w:tr>
  </w:tbl>
  <w:p w14:paraId="6D7626F1" w14:textId="7C6ACF76" w:rsidR="29AC05AA" w:rsidRDefault="29AC05AA" w:rsidP="29AC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F22D" w14:textId="77777777" w:rsidR="00725C39" w:rsidRDefault="00725C39">
      <w:pPr>
        <w:spacing w:after="0" w:line="240" w:lineRule="auto"/>
      </w:pPr>
      <w:r>
        <w:separator/>
      </w:r>
    </w:p>
  </w:footnote>
  <w:footnote w:type="continuationSeparator" w:id="0">
    <w:p w14:paraId="4A4ABA94" w14:textId="77777777" w:rsidR="00725C39" w:rsidRDefault="0072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F638" w14:textId="23723E31" w:rsidR="00D406AF" w:rsidRDefault="004269C6" w:rsidP="00035463">
    <w:pPr>
      <w:pStyle w:val="NormalWeb"/>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81B"/>
    <w:multiLevelType w:val="multilevel"/>
    <w:tmpl w:val="E3CE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C0DF7"/>
    <w:multiLevelType w:val="hybridMultilevel"/>
    <w:tmpl w:val="C850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810E3"/>
    <w:multiLevelType w:val="hybridMultilevel"/>
    <w:tmpl w:val="CF50C352"/>
    <w:lvl w:ilvl="0" w:tplc="B3E02A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07821"/>
    <w:multiLevelType w:val="hybridMultilevel"/>
    <w:tmpl w:val="A78C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A7CEF"/>
    <w:multiLevelType w:val="hybridMultilevel"/>
    <w:tmpl w:val="79484C86"/>
    <w:lvl w:ilvl="0" w:tplc="D49C09E0">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53B5E"/>
    <w:multiLevelType w:val="multilevel"/>
    <w:tmpl w:val="83BA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12B12"/>
    <w:multiLevelType w:val="multilevel"/>
    <w:tmpl w:val="30C4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3724B"/>
    <w:multiLevelType w:val="multilevel"/>
    <w:tmpl w:val="FBA4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C0D62"/>
    <w:multiLevelType w:val="hybridMultilevel"/>
    <w:tmpl w:val="2E3AD1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8883AC6"/>
    <w:multiLevelType w:val="hybridMultilevel"/>
    <w:tmpl w:val="F1F2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92025"/>
    <w:multiLevelType w:val="hybridMultilevel"/>
    <w:tmpl w:val="AD02B258"/>
    <w:lvl w:ilvl="0" w:tplc="57F0F452">
      <w:start w:val="1"/>
      <w:numFmt w:val="bullet"/>
      <w:lvlText w:val="•"/>
      <w:lvlJc w:val="left"/>
      <w:pPr>
        <w:tabs>
          <w:tab w:val="num" w:pos="720"/>
        </w:tabs>
        <w:ind w:left="720" w:hanging="360"/>
      </w:pPr>
      <w:rPr>
        <w:rFonts w:ascii="Arial" w:hAnsi="Arial" w:hint="default"/>
      </w:rPr>
    </w:lvl>
    <w:lvl w:ilvl="1" w:tplc="75B2B54E">
      <w:start w:val="1"/>
      <w:numFmt w:val="bullet"/>
      <w:lvlText w:val="•"/>
      <w:lvlJc w:val="left"/>
      <w:pPr>
        <w:tabs>
          <w:tab w:val="num" w:pos="1440"/>
        </w:tabs>
        <w:ind w:left="1440" w:hanging="360"/>
      </w:pPr>
      <w:rPr>
        <w:rFonts w:ascii="Arial" w:hAnsi="Arial" w:hint="default"/>
      </w:rPr>
    </w:lvl>
    <w:lvl w:ilvl="2" w:tplc="1B1081D2" w:tentative="1">
      <w:start w:val="1"/>
      <w:numFmt w:val="bullet"/>
      <w:lvlText w:val="•"/>
      <w:lvlJc w:val="left"/>
      <w:pPr>
        <w:tabs>
          <w:tab w:val="num" w:pos="2160"/>
        </w:tabs>
        <w:ind w:left="2160" w:hanging="360"/>
      </w:pPr>
      <w:rPr>
        <w:rFonts w:ascii="Arial" w:hAnsi="Arial" w:hint="default"/>
      </w:rPr>
    </w:lvl>
    <w:lvl w:ilvl="3" w:tplc="FDD4643E" w:tentative="1">
      <w:start w:val="1"/>
      <w:numFmt w:val="bullet"/>
      <w:lvlText w:val="•"/>
      <w:lvlJc w:val="left"/>
      <w:pPr>
        <w:tabs>
          <w:tab w:val="num" w:pos="2880"/>
        </w:tabs>
        <w:ind w:left="2880" w:hanging="360"/>
      </w:pPr>
      <w:rPr>
        <w:rFonts w:ascii="Arial" w:hAnsi="Arial" w:hint="default"/>
      </w:rPr>
    </w:lvl>
    <w:lvl w:ilvl="4" w:tplc="32B01A1A" w:tentative="1">
      <w:start w:val="1"/>
      <w:numFmt w:val="bullet"/>
      <w:lvlText w:val="•"/>
      <w:lvlJc w:val="left"/>
      <w:pPr>
        <w:tabs>
          <w:tab w:val="num" w:pos="3600"/>
        </w:tabs>
        <w:ind w:left="3600" w:hanging="360"/>
      </w:pPr>
      <w:rPr>
        <w:rFonts w:ascii="Arial" w:hAnsi="Arial" w:hint="default"/>
      </w:rPr>
    </w:lvl>
    <w:lvl w:ilvl="5" w:tplc="9576689A" w:tentative="1">
      <w:start w:val="1"/>
      <w:numFmt w:val="bullet"/>
      <w:lvlText w:val="•"/>
      <w:lvlJc w:val="left"/>
      <w:pPr>
        <w:tabs>
          <w:tab w:val="num" w:pos="4320"/>
        </w:tabs>
        <w:ind w:left="4320" w:hanging="360"/>
      </w:pPr>
      <w:rPr>
        <w:rFonts w:ascii="Arial" w:hAnsi="Arial" w:hint="default"/>
      </w:rPr>
    </w:lvl>
    <w:lvl w:ilvl="6" w:tplc="6EEE0CD6" w:tentative="1">
      <w:start w:val="1"/>
      <w:numFmt w:val="bullet"/>
      <w:lvlText w:val="•"/>
      <w:lvlJc w:val="left"/>
      <w:pPr>
        <w:tabs>
          <w:tab w:val="num" w:pos="5040"/>
        </w:tabs>
        <w:ind w:left="5040" w:hanging="360"/>
      </w:pPr>
      <w:rPr>
        <w:rFonts w:ascii="Arial" w:hAnsi="Arial" w:hint="default"/>
      </w:rPr>
    </w:lvl>
    <w:lvl w:ilvl="7" w:tplc="F322DF74" w:tentative="1">
      <w:start w:val="1"/>
      <w:numFmt w:val="bullet"/>
      <w:lvlText w:val="•"/>
      <w:lvlJc w:val="left"/>
      <w:pPr>
        <w:tabs>
          <w:tab w:val="num" w:pos="5760"/>
        </w:tabs>
        <w:ind w:left="5760" w:hanging="360"/>
      </w:pPr>
      <w:rPr>
        <w:rFonts w:ascii="Arial" w:hAnsi="Arial" w:hint="default"/>
      </w:rPr>
    </w:lvl>
    <w:lvl w:ilvl="8" w:tplc="13D07A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0403C5"/>
    <w:multiLevelType w:val="multilevel"/>
    <w:tmpl w:val="BD7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90352"/>
    <w:multiLevelType w:val="multilevel"/>
    <w:tmpl w:val="0BE0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A6A05"/>
    <w:multiLevelType w:val="hybridMultilevel"/>
    <w:tmpl w:val="BFBC3F40"/>
    <w:lvl w:ilvl="0" w:tplc="D49C09E0">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85252A7"/>
    <w:multiLevelType w:val="multilevel"/>
    <w:tmpl w:val="43BA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315B7E"/>
    <w:multiLevelType w:val="hybridMultilevel"/>
    <w:tmpl w:val="D8585A02"/>
    <w:lvl w:ilvl="0" w:tplc="04090001">
      <w:start w:val="1"/>
      <w:numFmt w:val="bullet"/>
      <w:lvlText w:val=""/>
      <w:lvlJc w:val="left"/>
      <w:pPr>
        <w:ind w:left="720" w:hanging="360"/>
      </w:pPr>
      <w:rPr>
        <w:rFonts w:ascii="Symbol" w:hAnsi="Symbol" w:hint="default"/>
      </w:rPr>
    </w:lvl>
    <w:lvl w:ilvl="1" w:tplc="891ED26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064968">
    <w:abstractNumId w:val="13"/>
  </w:num>
  <w:num w:numId="2" w16cid:durableId="710229989">
    <w:abstractNumId w:val="4"/>
  </w:num>
  <w:num w:numId="3" w16cid:durableId="1943994452">
    <w:abstractNumId w:val="8"/>
  </w:num>
  <w:num w:numId="4" w16cid:durableId="725641005">
    <w:abstractNumId w:val="9"/>
  </w:num>
  <w:num w:numId="5" w16cid:durableId="1633172203">
    <w:abstractNumId w:val="15"/>
  </w:num>
  <w:num w:numId="6" w16cid:durableId="1615474684">
    <w:abstractNumId w:val="3"/>
  </w:num>
  <w:num w:numId="7" w16cid:durableId="1851412557">
    <w:abstractNumId w:val="2"/>
  </w:num>
  <w:num w:numId="8" w16cid:durableId="1324041013">
    <w:abstractNumId w:val="1"/>
  </w:num>
  <w:num w:numId="9" w16cid:durableId="2040423076">
    <w:abstractNumId w:val="5"/>
  </w:num>
  <w:num w:numId="10" w16cid:durableId="1822501234">
    <w:abstractNumId w:val="14"/>
  </w:num>
  <w:num w:numId="11" w16cid:durableId="1729693899">
    <w:abstractNumId w:val="7"/>
  </w:num>
  <w:num w:numId="12" w16cid:durableId="894270162">
    <w:abstractNumId w:val="0"/>
  </w:num>
  <w:num w:numId="13" w16cid:durableId="1855993404">
    <w:abstractNumId w:val="6"/>
  </w:num>
  <w:num w:numId="14" w16cid:durableId="1399598621">
    <w:abstractNumId w:val="12"/>
  </w:num>
  <w:num w:numId="15" w16cid:durableId="1817410640">
    <w:abstractNumId w:val="11"/>
  </w:num>
  <w:num w:numId="16" w16cid:durableId="1783918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A4"/>
    <w:rsid w:val="0002558F"/>
    <w:rsid w:val="000319C9"/>
    <w:rsid w:val="00035463"/>
    <w:rsid w:val="00052C57"/>
    <w:rsid w:val="00062CCC"/>
    <w:rsid w:val="000873B1"/>
    <w:rsid w:val="00097800"/>
    <w:rsid w:val="000C2A7C"/>
    <w:rsid w:val="000D4A62"/>
    <w:rsid w:val="000F6FB1"/>
    <w:rsid w:val="00117ABC"/>
    <w:rsid w:val="001356EF"/>
    <w:rsid w:val="001434D7"/>
    <w:rsid w:val="00144FA3"/>
    <w:rsid w:val="00151109"/>
    <w:rsid w:val="00155F6B"/>
    <w:rsid w:val="00182475"/>
    <w:rsid w:val="0019480D"/>
    <w:rsid w:val="001A791F"/>
    <w:rsid w:val="00201079"/>
    <w:rsid w:val="002208F8"/>
    <w:rsid w:val="00264772"/>
    <w:rsid w:val="002771F4"/>
    <w:rsid w:val="00294D89"/>
    <w:rsid w:val="002A6038"/>
    <w:rsid w:val="002A6442"/>
    <w:rsid w:val="002C5554"/>
    <w:rsid w:val="002C6D8C"/>
    <w:rsid w:val="002E52CA"/>
    <w:rsid w:val="00303A76"/>
    <w:rsid w:val="0037015F"/>
    <w:rsid w:val="00386576"/>
    <w:rsid w:val="003A70AA"/>
    <w:rsid w:val="003B7970"/>
    <w:rsid w:val="003D75F9"/>
    <w:rsid w:val="004178FF"/>
    <w:rsid w:val="004258B4"/>
    <w:rsid w:val="004261C1"/>
    <w:rsid w:val="004269C6"/>
    <w:rsid w:val="004336CA"/>
    <w:rsid w:val="0044091B"/>
    <w:rsid w:val="00451227"/>
    <w:rsid w:val="00460669"/>
    <w:rsid w:val="00496005"/>
    <w:rsid w:val="004F709F"/>
    <w:rsid w:val="00522CF5"/>
    <w:rsid w:val="0052649D"/>
    <w:rsid w:val="00534E0A"/>
    <w:rsid w:val="0054760A"/>
    <w:rsid w:val="00594BD7"/>
    <w:rsid w:val="005A014B"/>
    <w:rsid w:val="005B64F2"/>
    <w:rsid w:val="005C0536"/>
    <w:rsid w:val="005D5BFF"/>
    <w:rsid w:val="005E28EA"/>
    <w:rsid w:val="005E4C12"/>
    <w:rsid w:val="00625073"/>
    <w:rsid w:val="00633545"/>
    <w:rsid w:val="00692C9F"/>
    <w:rsid w:val="0069423B"/>
    <w:rsid w:val="006E3070"/>
    <w:rsid w:val="006F1816"/>
    <w:rsid w:val="006F2739"/>
    <w:rsid w:val="007176CC"/>
    <w:rsid w:val="0072278F"/>
    <w:rsid w:val="00725C39"/>
    <w:rsid w:val="0074436F"/>
    <w:rsid w:val="00754E48"/>
    <w:rsid w:val="00757991"/>
    <w:rsid w:val="00795C7E"/>
    <w:rsid w:val="007E21C6"/>
    <w:rsid w:val="007E5703"/>
    <w:rsid w:val="007F4247"/>
    <w:rsid w:val="007F46A8"/>
    <w:rsid w:val="007F47D5"/>
    <w:rsid w:val="00822BB4"/>
    <w:rsid w:val="0086354D"/>
    <w:rsid w:val="00886684"/>
    <w:rsid w:val="008945DD"/>
    <w:rsid w:val="008B2C04"/>
    <w:rsid w:val="008E0073"/>
    <w:rsid w:val="009150D6"/>
    <w:rsid w:val="00926329"/>
    <w:rsid w:val="0094419B"/>
    <w:rsid w:val="00957E91"/>
    <w:rsid w:val="0097161F"/>
    <w:rsid w:val="009A16A8"/>
    <w:rsid w:val="009A2BB9"/>
    <w:rsid w:val="009A4944"/>
    <w:rsid w:val="009C53B0"/>
    <w:rsid w:val="00A23ECA"/>
    <w:rsid w:val="00A44AF8"/>
    <w:rsid w:val="00A855BF"/>
    <w:rsid w:val="00A93928"/>
    <w:rsid w:val="00AA7A95"/>
    <w:rsid w:val="00AC0F13"/>
    <w:rsid w:val="00AE1DDD"/>
    <w:rsid w:val="00AF4935"/>
    <w:rsid w:val="00B03B57"/>
    <w:rsid w:val="00B17B44"/>
    <w:rsid w:val="00B27AC7"/>
    <w:rsid w:val="00B31EF8"/>
    <w:rsid w:val="00B37498"/>
    <w:rsid w:val="00B422E3"/>
    <w:rsid w:val="00B84F17"/>
    <w:rsid w:val="00C23515"/>
    <w:rsid w:val="00C269D5"/>
    <w:rsid w:val="00C62E3B"/>
    <w:rsid w:val="00CA1264"/>
    <w:rsid w:val="00CB0486"/>
    <w:rsid w:val="00D406AF"/>
    <w:rsid w:val="00D76031"/>
    <w:rsid w:val="00DB0B68"/>
    <w:rsid w:val="00DB66D2"/>
    <w:rsid w:val="00DF16B8"/>
    <w:rsid w:val="00DF1C5E"/>
    <w:rsid w:val="00E05672"/>
    <w:rsid w:val="00E07EA4"/>
    <w:rsid w:val="00E1606C"/>
    <w:rsid w:val="00E173A8"/>
    <w:rsid w:val="00E42B81"/>
    <w:rsid w:val="00E53499"/>
    <w:rsid w:val="00E96A95"/>
    <w:rsid w:val="00E97CF7"/>
    <w:rsid w:val="00EA741D"/>
    <w:rsid w:val="00EB53A5"/>
    <w:rsid w:val="00EC5339"/>
    <w:rsid w:val="00EF4CC8"/>
    <w:rsid w:val="00F27507"/>
    <w:rsid w:val="00F32E4D"/>
    <w:rsid w:val="00F44462"/>
    <w:rsid w:val="00F54AC4"/>
    <w:rsid w:val="00F6392F"/>
    <w:rsid w:val="00F73E05"/>
    <w:rsid w:val="00F808D2"/>
    <w:rsid w:val="00F83A8F"/>
    <w:rsid w:val="00F912DC"/>
    <w:rsid w:val="00F91C7D"/>
    <w:rsid w:val="00FC1776"/>
    <w:rsid w:val="00FC51E2"/>
    <w:rsid w:val="00FD6A1B"/>
    <w:rsid w:val="068E87C2"/>
    <w:rsid w:val="29AC05AA"/>
    <w:rsid w:val="45E4F071"/>
    <w:rsid w:val="4CD10A87"/>
    <w:rsid w:val="53AC0BB8"/>
    <w:rsid w:val="58A3E7B5"/>
    <w:rsid w:val="5AA2D2A0"/>
    <w:rsid w:val="6071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2BD2"/>
  <w15:chartTrackingRefBased/>
  <w15:docId w15:val="{737CC8F5-F4A0-422B-9845-3A1C3EBF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A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757991"/>
    <w:pPr>
      <w:spacing w:after="0" w:line="240" w:lineRule="auto"/>
    </w:pPr>
  </w:style>
  <w:style w:type="character" w:styleId="CommentReference">
    <w:name w:val="annotation reference"/>
    <w:basedOn w:val="DefaultParagraphFont"/>
    <w:uiPriority w:val="99"/>
    <w:semiHidden/>
    <w:unhideWhenUsed/>
    <w:rsid w:val="00182475"/>
    <w:rPr>
      <w:sz w:val="16"/>
      <w:szCs w:val="16"/>
    </w:rPr>
  </w:style>
  <w:style w:type="paragraph" w:styleId="CommentText">
    <w:name w:val="annotation text"/>
    <w:basedOn w:val="Normal"/>
    <w:link w:val="CommentTextChar"/>
    <w:uiPriority w:val="99"/>
    <w:unhideWhenUsed/>
    <w:rsid w:val="00182475"/>
    <w:pPr>
      <w:spacing w:line="240" w:lineRule="auto"/>
    </w:pPr>
    <w:rPr>
      <w:sz w:val="20"/>
      <w:szCs w:val="20"/>
    </w:rPr>
  </w:style>
  <w:style w:type="character" w:customStyle="1" w:styleId="CommentTextChar">
    <w:name w:val="Comment Text Char"/>
    <w:basedOn w:val="DefaultParagraphFont"/>
    <w:link w:val="CommentText"/>
    <w:uiPriority w:val="99"/>
    <w:rsid w:val="00182475"/>
    <w:rPr>
      <w:sz w:val="20"/>
      <w:szCs w:val="20"/>
    </w:rPr>
  </w:style>
  <w:style w:type="paragraph" w:styleId="CommentSubject">
    <w:name w:val="annotation subject"/>
    <w:basedOn w:val="CommentText"/>
    <w:next w:val="CommentText"/>
    <w:link w:val="CommentSubjectChar"/>
    <w:uiPriority w:val="99"/>
    <w:semiHidden/>
    <w:unhideWhenUsed/>
    <w:rsid w:val="00182475"/>
    <w:rPr>
      <w:b/>
      <w:bCs/>
    </w:rPr>
  </w:style>
  <w:style w:type="character" w:customStyle="1" w:styleId="CommentSubjectChar">
    <w:name w:val="Comment Subject Char"/>
    <w:basedOn w:val="CommentTextChar"/>
    <w:link w:val="CommentSubject"/>
    <w:uiPriority w:val="99"/>
    <w:semiHidden/>
    <w:rsid w:val="00182475"/>
    <w:rPr>
      <w:b/>
      <w:bCs/>
      <w:sz w:val="20"/>
      <w:szCs w:val="20"/>
    </w:rPr>
  </w:style>
  <w:style w:type="paragraph" w:styleId="NormalWeb">
    <w:name w:val="Normal (Web)"/>
    <w:basedOn w:val="Normal"/>
    <w:uiPriority w:val="99"/>
    <w:unhideWhenUsed/>
    <w:rsid w:val="000354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4142">
      <w:bodyDiv w:val="1"/>
      <w:marLeft w:val="0"/>
      <w:marRight w:val="0"/>
      <w:marTop w:val="0"/>
      <w:marBottom w:val="0"/>
      <w:divBdr>
        <w:top w:val="none" w:sz="0" w:space="0" w:color="auto"/>
        <w:left w:val="none" w:sz="0" w:space="0" w:color="auto"/>
        <w:bottom w:val="none" w:sz="0" w:space="0" w:color="auto"/>
        <w:right w:val="none" w:sz="0" w:space="0" w:color="auto"/>
      </w:divBdr>
    </w:div>
    <w:div w:id="513302676">
      <w:bodyDiv w:val="1"/>
      <w:marLeft w:val="0"/>
      <w:marRight w:val="0"/>
      <w:marTop w:val="0"/>
      <w:marBottom w:val="0"/>
      <w:divBdr>
        <w:top w:val="none" w:sz="0" w:space="0" w:color="auto"/>
        <w:left w:val="none" w:sz="0" w:space="0" w:color="auto"/>
        <w:bottom w:val="none" w:sz="0" w:space="0" w:color="auto"/>
        <w:right w:val="none" w:sz="0" w:space="0" w:color="auto"/>
      </w:divBdr>
      <w:divsChild>
        <w:div w:id="497961046">
          <w:marLeft w:val="461"/>
          <w:marRight w:val="0"/>
          <w:marTop w:val="0"/>
          <w:marBottom w:val="0"/>
          <w:divBdr>
            <w:top w:val="none" w:sz="0" w:space="0" w:color="auto"/>
            <w:left w:val="none" w:sz="0" w:space="0" w:color="auto"/>
            <w:bottom w:val="none" w:sz="0" w:space="0" w:color="auto"/>
            <w:right w:val="none" w:sz="0" w:space="0" w:color="auto"/>
          </w:divBdr>
        </w:div>
      </w:divsChild>
    </w:div>
    <w:div w:id="1246379023">
      <w:bodyDiv w:val="1"/>
      <w:marLeft w:val="0"/>
      <w:marRight w:val="0"/>
      <w:marTop w:val="0"/>
      <w:marBottom w:val="0"/>
      <w:divBdr>
        <w:top w:val="none" w:sz="0" w:space="0" w:color="auto"/>
        <w:left w:val="none" w:sz="0" w:space="0" w:color="auto"/>
        <w:bottom w:val="none" w:sz="0" w:space="0" w:color="auto"/>
        <w:right w:val="none" w:sz="0" w:space="0" w:color="auto"/>
      </w:divBdr>
    </w:div>
    <w:div w:id="1395927495">
      <w:bodyDiv w:val="1"/>
      <w:marLeft w:val="0"/>
      <w:marRight w:val="0"/>
      <w:marTop w:val="0"/>
      <w:marBottom w:val="0"/>
      <w:divBdr>
        <w:top w:val="none" w:sz="0" w:space="0" w:color="auto"/>
        <w:left w:val="none" w:sz="0" w:space="0" w:color="auto"/>
        <w:bottom w:val="none" w:sz="0" w:space="0" w:color="auto"/>
        <w:right w:val="none" w:sz="0" w:space="0" w:color="auto"/>
      </w:divBdr>
    </w:div>
    <w:div w:id="16567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4" ma:contentTypeDescription="Create a new document." ma:contentTypeScope="" ma:versionID="12433fd5e9cf04a3babdefc6f779efad">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753aa70c815f8e1aa026b516beb1e84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TaxCatchAll xmlns="3261a78c-d450-4c7a-9054-f88071cdb3eb" xsi:nil="true"/>
    <c9qi xmlns="d1b05284-cf3f-4576-99a2-aa8ec7cc0ff1" xsi:nil="true"/>
    <sw9x xmlns="d1b05284-cf3f-4576-99a2-aa8ec7cc0ff1" xsi:nil="true"/>
    <Link xmlns="d1b05284-cf3f-4576-99a2-aa8ec7cc0ff1">
      <Url xsi:nil="true"/>
      <Description xsi:nil="true"/>
    </Link>
  </documentManagement>
</p:properties>
</file>

<file path=customXml/itemProps1.xml><?xml version="1.0" encoding="utf-8"?>
<ds:datastoreItem xmlns:ds="http://schemas.openxmlformats.org/officeDocument/2006/customXml" ds:itemID="{3190027C-8330-46B6-A05B-B875F1498A5C}">
  <ds:schemaRefs>
    <ds:schemaRef ds:uri="http://schemas.microsoft.com/sharepoint/v3/contenttype/forms"/>
  </ds:schemaRefs>
</ds:datastoreItem>
</file>

<file path=customXml/itemProps2.xml><?xml version="1.0" encoding="utf-8"?>
<ds:datastoreItem xmlns:ds="http://schemas.openxmlformats.org/officeDocument/2006/customXml" ds:itemID="{F511E8BD-68C3-4862-8746-7737A23A856B}"/>
</file>

<file path=customXml/itemProps3.xml><?xml version="1.0" encoding="utf-8"?>
<ds:datastoreItem xmlns:ds="http://schemas.openxmlformats.org/officeDocument/2006/customXml" ds:itemID="{5DC20833-2219-4B81-8C13-AC184171F724}">
  <ds:schemaRefs>
    <ds:schemaRef ds:uri="http://schemas.microsoft.com/office/2006/metadata/properties"/>
    <ds:schemaRef ds:uri="http://schemas.microsoft.com/office/infopath/2007/PartnerControls"/>
    <ds:schemaRef ds:uri="d1b05284-cf3f-4576-99a2-aa8ec7cc0ff1"/>
    <ds:schemaRef ds:uri="3261a78c-d450-4c7a-9054-f88071cdb3eb"/>
  </ds:schemaRefs>
</ds:datastoreItem>
</file>

<file path=docMetadata/LabelInfo.xml><?xml version="1.0" encoding="utf-8"?>
<clbl:labelList xmlns:clbl="http://schemas.microsoft.com/office/2020/mipLabelMetadata">
  <clbl:label id="{e3608b1d-a8c6-4d15-8d70-1c8023f30311}" enabled="1" method="Privileged" siteId="{53b7cac7-14be-46d4-be43-f2ad9244d901}"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2037</Words>
  <Characters>9027</Characters>
  <Application>Microsoft Office Word</Application>
  <DocSecurity>0</DocSecurity>
  <Lines>125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Fisher</dc:creator>
  <cp:keywords/>
  <dc:description/>
  <cp:lastModifiedBy>RPG</cp:lastModifiedBy>
  <cp:revision>5</cp:revision>
  <cp:lastPrinted>2025-01-17T16:27:00Z</cp:lastPrinted>
  <dcterms:created xsi:type="dcterms:W3CDTF">2025-01-17T16:35:00Z</dcterms:created>
  <dcterms:modified xsi:type="dcterms:W3CDTF">2025-01-17T16:44:00Z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