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FB06" w14:textId="77777777" w:rsidR="00E07EA4" w:rsidRPr="00E07EA4" w:rsidRDefault="00E07EA4" w:rsidP="00E07EA4">
      <w:pPr>
        <w:spacing w:after="0" w:line="240" w:lineRule="auto"/>
        <w:rPr>
          <w:rFonts w:ascii="Times New Roman" w:eastAsia="Times New Roman" w:hAnsi="Times New Roman" w:cs="Times New Roman"/>
          <w:i/>
          <w:sz w:val="24"/>
          <w:szCs w:val="24"/>
        </w:rPr>
      </w:pPr>
      <w:r w:rsidRPr="00E07EA4">
        <w:rPr>
          <w:rFonts w:ascii="Arial" w:eastAsia="Times New Roman" w:hAnsi="Arial" w:cs="Arial"/>
          <w:i/>
          <w:color w:val="000000"/>
        </w:rPr>
        <w:t>The following material is provided for informational purposes only. Before taking any action that could have legal or other significant consequences, consult with a qualified professional who can provide guidance tailored to your unique circumstances.</w:t>
      </w:r>
    </w:p>
    <w:p w14:paraId="0114E61B" w14:textId="77777777" w:rsidR="00E07EA4" w:rsidRDefault="00E07EA4" w:rsidP="00E07EA4">
      <w:pPr>
        <w:spacing w:after="0" w:line="240" w:lineRule="auto"/>
        <w:rPr>
          <w:rFonts w:ascii="Times New Roman" w:eastAsia="Times New Roman" w:hAnsi="Times New Roman" w:cs="Times New Roman"/>
          <w:i/>
          <w:sz w:val="24"/>
          <w:szCs w:val="24"/>
        </w:rPr>
      </w:pPr>
    </w:p>
    <w:p w14:paraId="721C6926" w14:textId="3446C910" w:rsidR="00DF16B8" w:rsidRDefault="009C532B" w:rsidP="009C532B">
      <w:pPr>
        <w:spacing w:after="0" w:line="240" w:lineRule="auto"/>
        <w:rPr>
          <w:rFonts w:ascii="Arial" w:eastAsia="Times New Roman" w:hAnsi="Arial" w:cs="Arial"/>
          <w:b/>
          <w:color w:val="000000"/>
          <w:sz w:val="28"/>
          <w:szCs w:val="28"/>
        </w:rPr>
      </w:pPr>
      <w:r w:rsidRPr="009C532B">
        <w:rPr>
          <w:rFonts w:ascii="Arial" w:eastAsia="Times New Roman" w:hAnsi="Arial" w:cs="Arial"/>
          <w:b/>
          <w:color w:val="000000"/>
          <w:sz w:val="28"/>
          <w:szCs w:val="28"/>
        </w:rPr>
        <w:t>The Challenge of a Hybrid Workplace</w:t>
      </w:r>
      <w:r>
        <w:rPr>
          <w:rFonts w:ascii="Arial" w:eastAsia="Times New Roman" w:hAnsi="Arial" w:cs="Arial"/>
          <w:b/>
          <w:color w:val="000000"/>
          <w:sz w:val="28"/>
          <w:szCs w:val="28"/>
        </w:rPr>
        <w:t xml:space="preserve"> </w:t>
      </w:r>
      <w:r w:rsidRPr="009C532B">
        <w:rPr>
          <w:rFonts w:ascii="Arial" w:eastAsia="Times New Roman" w:hAnsi="Arial" w:cs="Arial"/>
          <w:b/>
          <w:color w:val="000000"/>
          <w:sz w:val="28"/>
          <w:szCs w:val="28"/>
        </w:rPr>
        <w:t>for Architects and Engineers</w:t>
      </w:r>
    </w:p>
    <w:p w14:paraId="5FBEA508" w14:textId="77777777" w:rsidR="009C532B" w:rsidRPr="00E07EA4" w:rsidRDefault="009C532B" w:rsidP="009C532B">
      <w:pPr>
        <w:spacing w:after="0" w:line="240" w:lineRule="auto"/>
        <w:rPr>
          <w:rFonts w:ascii="Times New Roman" w:eastAsia="Times New Roman" w:hAnsi="Times New Roman" w:cs="Times New Roman"/>
          <w:i/>
          <w:sz w:val="24"/>
          <w:szCs w:val="24"/>
        </w:rPr>
      </w:pPr>
    </w:p>
    <w:p w14:paraId="50005DE5" w14:textId="01F3D0EA" w:rsidR="0072278F" w:rsidRDefault="009C532B" w:rsidP="00AE1DDD">
      <w:pPr>
        <w:spacing w:after="0" w:line="240" w:lineRule="auto"/>
        <w:rPr>
          <w:rFonts w:ascii="Arial" w:eastAsia="Times New Roman" w:hAnsi="Arial" w:cs="Arial"/>
          <w:bCs/>
          <w:i/>
          <w:iCs/>
          <w:color w:val="000000"/>
        </w:rPr>
      </w:pPr>
      <w:bookmarkStart w:id="0" w:name="_Hlk174708324"/>
      <w:r w:rsidRPr="009C532B">
        <w:rPr>
          <w:rFonts w:ascii="Arial" w:eastAsia="Times New Roman" w:hAnsi="Arial" w:cs="Arial"/>
          <w:bCs/>
          <w:i/>
          <w:iCs/>
          <w:color w:val="000000"/>
        </w:rPr>
        <w:t>By Diane P. Mika Senior Vice President, Risk Management Officer Berkley Alliance Managers</w:t>
      </w:r>
    </w:p>
    <w:p w14:paraId="2D59836D" w14:textId="77777777" w:rsidR="009C532B" w:rsidRPr="009C532B" w:rsidRDefault="009C532B" w:rsidP="00AE1DDD">
      <w:pPr>
        <w:spacing w:after="0" w:line="240" w:lineRule="auto"/>
        <w:rPr>
          <w:rFonts w:ascii="Arial" w:eastAsia="Times New Roman" w:hAnsi="Arial" w:cs="Arial"/>
          <w:bCs/>
          <w:i/>
          <w:iCs/>
          <w:color w:val="000000"/>
          <w:sz w:val="28"/>
          <w:szCs w:val="28"/>
        </w:rPr>
      </w:pPr>
    </w:p>
    <w:p w14:paraId="4D53A133" w14:textId="7EE87D4F" w:rsidR="0044091B" w:rsidRDefault="009C532B" w:rsidP="00544264">
      <w:pPr>
        <w:spacing w:after="0" w:line="240" w:lineRule="auto"/>
        <w:ind w:firstLine="720"/>
        <w:rPr>
          <w:rFonts w:ascii="Arial" w:eastAsia="Times New Roman" w:hAnsi="Arial" w:cs="Arial"/>
          <w:bCs/>
          <w:color w:val="000000"/>
          <w:sz w:val="28"/>
          <w:szCs w:val="28"/>
        </w:rPr>
      </w:pPr>
      <w:r w:rsidRPr="009C532B">
        <w:rPr>
          <w:rFonts w:ascii="Arial" w:eastAsia="Times New Roman" w:hAnsi="Arial" w:cs="Arial"/>
          <w:bCs/>
          <w:color w:val="000000"/>
          <w:sz w:val="28"/>
          <w:szCs w:val="28"/>
        </w:rPr>
        <w:t xml:space="preserve">The COVID-19 Public Health Emergency may have officially ended, but its effects have forever changed people’s lives. While the concept of the hybrid work environment had already been gaining ground before 2020, COVID-19 gave many employees their first taste of working from home, providing much more flexibility to accomplish their work on their own terms. Many firms implemented a hybrid strategy in returning to the office, both as a social distancing tactic as well </w:t>
      </w:r>
      <w:proofErr w:type="gramStart"/>
      <w:r w:rsidRPr="009C532B">
        <w:rPr>
          <w:rFonts w:ascii="Arial" w:eastAsia="Times New Roman" w:hAnsi="Arial" w:cs="Arial"/>
          <w:bCs/>
          <w:color w:val="000000"/>
          <w:sz w:val="28"/>
          <w:szCs w:val="28"/>
        </w:rPr>
        <w:t>as a way to</w:t>
      </w:r>
      <w:proofErr w:type="gramEnd"/>
      <w:r w:rsidRPr="009C532B">
        <w:rPr>
          <w:rFonts w:ascii="Arial" w:eastAsia="Times New Roman" w:hAnsi="Arial" w:cs="Arial"/>
          <w:bCs/>
          <w:color w:val="000000"/>
          <w:sz w:val="28"/>
          <w:szCs w:val="28"/>
        </w:rPr>
        <w:t xml:space="preserve"> placate employees who very much liked working from home and wanted to continue to do so, at least part of the time.</w:t>
      </w:r>
    </w:p>
    <w:p w14:paraId="1D0106A8" w14:textId="77777777" w:rsidR="009C532B" w:rsidRDefault="009C532B" w:rsidP="009C532B">
      <w:pPr>
        <w:spacing w:after="0" w:line="240" w:lineRule="auto"/>
        <w:rPr>
          <w:rFonts w:ascii="Arial" w:eastAsia="Times New Roman" w:hAnsi="Arial" w:cs="Arial"/>
          <w:bCs/>
          <w:color w:val="000000"/>
          <w:sz w:val="28"/>
          <w:szCs w:val="28"/>
        </w:rPr>
      </w:pPr>
    </w:p>
    <w:p w14:paraId="73DC931F" w14:textId="6668F45E" w:rsidR="009C532B" w:rsidRDefault="009C532B" w:rsidP="00544264">
      <w:pPr>
        <w:spacing w:after="0" w:line="240" w:lineRule="auto"/>
        <w:ind w:firstLine="720"/>
        <w:rPr>
          <w:rFonts w:ascii="Arial" w:eastAsia="Times New Roman" w:hAnsi="Arial" w:cs="Arial"/>
          <w:bCs/>
          <w:color w:val="000000"/>
          <w:sz w:val="28"/>
          <w:szCs w:val="28"/>
        </w:rPr>
      </w:pPr>
      <w:r w:rsidRPr="009C532B">
        <w:rPr>
          <w:rFonts w:ascii="Arial" w:eastAsia="Times New Roman" w:hAnsi="Arial" w:cs="Arial"/>
          <w:bCs/>
          <w:color w:val="000000"/>
          <w:sz w:val="28"/>
          <w:szCs w:val="28"/>
        </w:rPr>
        <w:t>Converting to a hybrid office approach means making not only operational changes but also physical changes. Flexible spaces where projects define the space, rather than people, have become the hallmark of a hybrid office. Since independent work can more easily be accomplished while working remotely, the hybrid office space prioritizes the variety of collaboration spaces for in-person meetings of various sizes. Spaces might include open common spaces, team huddle areas, quiet zones, booths, library areas, small informal spots, and large meeting spaces. Technology and digital tools, health and wellness, and equity all factor into a greater emphasis on fostering collaboration, culture, and inclusion in a hybrid office.</w:t>
      </w:r>
    </w:p>
    <w:p w14:paraId="64FE1733" w14:textId="77777777" w:rsidR="009C532B" w:rsidRDefault="009C532B" w:rsidP="009C532B">
      <w:pPr>
        <w:spacing w:after="0" w:line="240" w:lineRule="auto"/>
        <w:rPr>
          <w:rFonts w:ascii="Arial" w:eastAsia="Times New Roman" w:hAnsi="Arial" w:cs="Arial"/>
          <w:bCs/>
          <w:color w:val="000000"/>
          <w:sz w:val="28"/>
          <w:szCs w:val="28"/>
        </w:rPr>
      </w:pPr>
    </w:p>
    <w:p w14:paraId="33738CE5" w14:textId="77777777" w:rsidR="009C532B" w:rsidRPr="009C532B" w:rsidRDefault="009C532B" w:rsidP="00544264">
      <w:pPr>
        <w:spacing w:after="0" w:line="240" w:lineRule="auto"/>
        <w:ind w:firstLine="720"/>
        <w:rPr>
          <w:rFonts w:ascii="Arial" w:eastAsia="Times New Roman" w:hAnsi="Arial" w:cs="Arial"/>
          <w:bCs/>
          <w:color w:val="000000"/>
          <w:sz w:val="28"/>
          <w:szCs w:val="28"/>
        </w:rPr>
      </w:pPr>
      <w:r w:rsidRPr="009C532B">
        <w:rPr>
          <w:rFonts w:ascii="Arial" w:eastAsia="Times New Roman" w:hAnsi="Arial" w:cs="Arial"/>
          <w:bCs/>
          <w:color w:val="000000"/>
          <w:sz w:val="28"/>
          <w:szCs w:val="28"/>
        </w:rPr>
        <w:t>A full-blown remote work approach succeeds for some employees and in some industries, but not all. Some industries, like design and engineering, require a highly collaborative team working together to produce the best results. Others, like law practices and some government agencies, are steeped in tradition and just not as open to change. The hybrid workplace might be the sweet spot in maintaining a center of operations while accommodating today’s increasingly diverse workforce.</w:t>
      </w:r>
    </w:p>
    <w:p w14:paraId="72F106E1" w14:textId="77777777" w:rsidR="009C532B" w:rsidRDefault="009C532B" w:rsidP="00544264">
      <w:pPr>
        <w:spacing w:after="0" w:line="240" w:lineRule="auto"/>
        <w:ind w:firstLine="360"/>
        <w:rPr>
          <w:rFonts w:ascii="Arial" w:eastAsia="Times New Roman" w:hAnsi="Arial" w:cs="Arial"/>
          <w:bCs/>
          <w:color w:val="000000"/>
          <w:sz w:val="28"/>
          <w:szCs w:val="28"/>
        </w:rPr>
      </w:pPr>
      <w:r w:rsidRPr="009C532B">
        <w:rPr>
          <w:rFonts w:ascii="Arial" w:eastAsia="Times New Roman" w:hAnsi="Arial" w:cs="Arial"/>
          <w:bCs/>
          <w:color w:val="000000"/>
          <w:sz w:val="28"/>
          <w:szCs w:val="28"/>
        </w:rPr>
        <w:lastRenderedPageBreak/>
        <w:t>There are risks and challenges that leadership must recognize and address for the hybrid approach to be successful.</w:t>
      </w:r>
    </w:p>
    <w:p w14:paraId="680A7777" w14:textId="77777777" w:rsidR="00544264" w:rsidRPr="009C532B" w:rsidRDefault="00544264" w:rsidP="00544264">
      <w:pPr>
        <w:spacing w:after="0" w:line="240" w:lineRule="auto"/>
        <w:ind w:firstLine="360"/>
        <w:rPr>
          <w:rFonts w:ascii="Arial" w:eastAsia="Times New Roman" w:hAnsi="Arial" w:cs="Arial"/>
          <w:bCs/>
          <w:color w:val="000000"/>
          <w:sz w:val="28"/>
          <w:szCs w:val="28"/>
        </w:rPr>
      </w:pPr>
    </w:p>
    <w:p w14:paraId="23A1CFD7" w14:textId="4ED86C6A" w:rsidR="009C532B" w:rsidRDefault="009C532B" w:rsidP="009C532B">
      <w:pPr>
        <w:pStyle w:val="ListParagraph"/>
        <w:numPr>
          <w:ilvl w:val="0"/>
          <w:numId w:val="5"/>
        </w:numPr>
        <w:spacing w:after="0" w:line="240" w:lineRule="auto"/>
        <w:rPr>
          <w:rFonts w:ascii="Arial" w:eastAsia="Times New Roman" w:hAnsi="Arial" w:cs="Arial"/>
          <w:bCs/>
          <w:color w:val="000000"/>
          <w:sz w:val="28"/>
          <w:szCs w:val="28"/>
        </w:rPr>
      </w:pPr>
      <w:r w:rsidRPr="009C532B">
        <w:rPr>
          <w:rFonts w:ascii="Arial" w:eastAsia="Times New Roman" w:hAnsi="Arial" w:cs="Arial"/>
          <w:bCs/>
          <w:color w:val="000000"/>
          <w:sz w:val="28"/>
          <w:szCs w:val="28"/>
        </w:rPr>
        <w:t xml:space="preserve">Arguably the most critical risk is that of maintaining </w:t>
      </w:r>
      <w:r w:rsidRPr="00544264">
        <w:rPr>
          <w:rFonts w:ascii="Arial" w:eastAsia="Times New Roman" w:hAnsi="Arial" w:cs="Arial"/>
          <w:b/>
          <w:color w:val="000000"/>
          <w:sz w:val="28"/>
          <w:szCs w:val="28"/>
        </w:rPr>
        <w:t>network integrity</w:t>
      </w:r>
      <w:r w:rsidRPr="009C532B">
        <w:rPr>
          <w:rFonts w:ascii="Arial" w:eastAsia="Times New Roman" w:hAnsi="Arial" w:cs="Arial"/>
          <w:bCs/>
          <w:color w:val="000000"/>
          <w:sz w:val="28"/>
          <w:szCs w:val="28"/>
        </w:rPr>
        <w:t xml:space="preserve"> and </w:t>
      </w:r>
      <w:r w:rsidRPr="00544264">
        <w:rPr>
          <w:rFonts w:ascii="Arial" w:eastAsia="Times New Roman" w:hAnsi="Arial" w:cs="Arial"/>
          <w:b/>
          <w:color w:val="000000"/>
          <w:sz w:val="28"/>
          <w:szCs w:val="28"/>
        </w:rPr>
        <w:t>cybersecurity</w:t>
      </w:r>
      <w:r w:rsidRPr="009C532B">
        <w:rPr>
          <w:rFonts w:ascii="Arial" w:eastAsia="Times New Roman" w:hAnsi="Arial" w:cs="Arial"/>
          <w:bCs/>
          <w:color w:val="000000"/>
          <w:sz w:val="28"/>
          <w:szCs w:val="28"/>
        </w:rPr>
        <w:t xml:space="preserve"> while facilitating remote work. Controlling access to sensitive data, establishing a clear audit trail, and prioritizing employee awareness and training are critical to minimizing the possibility of a </w:t>
      </w:r>
      <w:r w:rsidRPr="009C532B">
        <w:rPr>
          <w:rFonts w:ascii="Arial" w:eastAsia="Times New Roman" w:hAnsi="Arial" w:cs="Arial"/>
          <w:bCs/>
          <w:color w:val="000000"/>
          <w:sz w:val="28"/>
          <w:szCs w:val="28"/>
        </w:rPr>
        <w:t>cyber-attack</w:t>
      </w:r>
      <w:r w:rsidRPr="009C532B">
        <w:rPr>
          <w:rFonts w:ascii="Arial" w:eastAsia="Times New Roman" w:hAnsi="Arial" w:cs="Arial"/>
          <w:bCs/>
          <w:color w:val="000000"/>
          <w:sz w:val="28"/>
          <w:szCs w:val="28"/>
        </w:rPr>
        <w:t>.</w:t>
      </w:r>
    </w:p>
    <w:p w14:paraId="11AF2660" w14:textId="3A156BA4" w:rsidR="009C532B" w:rsidRPr="009C532B" w:rsidRDefault="009C532B" w:rsidP="009C532B">
      <w:pPr>
        <w:pStyle w:val="ListParagraph"/>
        <w:numPr>
          <w:ilvl w:val="0"/>
          <w:numId w:val="5"/>
        </w:numPr>
        <w:spacing w:after="0" w:line="240" w:lineRule="auto"/>
        <w:rPr>
          <w:rFonts w:ascii="Arial" w:eastAsia="Times New Roman" w:hAnsi="Arial" w:cs="Arial"/>
          <w:bCs/>
          <w:color w:val="000000"/>
          <w:sz w:val="28"/>
          <w:szCs w:val="28"/>
        </w:rPr>
      </w:pPr>
      <w:r w:rsidRPr="009C532B">
        <w:rPr>
          <w:rFonts w:ascii="Arial" w:eastAsia="Times New Roman" w:hAnsi="Arial" w:cs="Arial"/>
          <w:bCs/>
          <w:color w:val="000000"/>
          <w:sz w:val="28"/>
          <w:szCs w:val="28"/>
        </w:rPr>
        <w:t xml:space="preserve">The erosion of the </w:t>
      </w:r>
      <w:r w:rsidRPr="00544264">
        <w:rPr>
          <w:rFonts w:ascii="Arial" w:eastAsia="Times New Roman" w:hAnsi="Arial" w:cs="Arial"/>
          <w:b/>
          <w:color w:val="000000"/>
          <w:sz w:val="28"/>
          <w:szCs w:val="28"/>
        </w:rPr>
        <w:t>company culture</w:t>
      </w:r>
      <w:r w:rsidRPr="009C532B">
        <w:rPr>
          <w:rFonts w:ascii="Arial" w:eastAsia="Times New Roman" w:hAnsi="Arial" w:cs="Arial"/>
          <w:bCs/>
          <w:color w:val="000000"/>
          <w:sz w:val="28"/>
          <w:szCs w:val="28"/>
        </w:rPr>
        <w:t xml:space="preserve"> is a significant and real concern as well. Having an active and intentional requirement for presence in the office, at a minimum for important in-person meetings and events can help to nurture and sustain a company’s shared goals and values.</w:t>
      </w:r>
    </w:p>
    <w:p w14:paraId="4EDC3FAF" w14:textId="77777777" w:rsidR="009C532B" w:rsidRDefault="009C532B" w:rsidP="009C532B">
      <w:pPr>
        <w:pStyle w:val="ListParagraph"/>
        <w:numPr>
          <w:ilvl w:val="0"/>
          <w:numId w:val="5"/>
        </w:numPr>
        <w:spacing w:after="0" w:line="240" w:lineRule="auto"/>
        <w:rPr>
          <w:rFonts w:ascii="Arial" w:eastAsia="Times New Roman" w:hAnsi="Arial" w:cs="Arial"/>
          <w:bCs/>
          <w:color w:val="000000"/>
          <w:sz w:val="28"/>
          <w:szCs w:val="28"/>
        </w:rPr>
      </w:pPr>
      <w:r w:rsidRPr="00544264">
        <w:rPr>
          <w:rFonts w:ascii="Arial" w:eastAsia="Times New Roman" w:hAnsi="Arial" w:cs="Arial"/>
          <w:b/>
          <w:color w:val="000000"/>
          <w:sz w:val="28"/>
          <w:szCs w:val="28"/>
        </w:rPr>
        <w:t>Productivity levels</w:t>
      </w:r>
      <w:r w:rsidRPr="009C532B">
        <w:rPr>
          <w:rFonts w:ascii="Arial" w:eastAsia="Times New Roman" w:hAnsi="Arial" w:cs="Arial"/>
          <w:bCs/>
          <w:color w:val="000000"/>
          <w:sz w:val="28"/>
          <w:szCs w:val="28"/>
        </w:rPr>
        <w:t xml:space="preserve"> initially increased during the work-from-home time of the pandemic as measured by enhanced direct time ratios and resultant reduced overhead factors. Now those reported gains are questionable, and companies are looking at measuring outcomes instead of hours as a better performance measurement.</w:t>
      </w:r>
    </w:p>
    <w:p w14:paraId="1B5F35D5" w14:textId="799E7430" w:rsidR="009C532B" w:rsidRDefault="009C532B" w:rsidP="009C532B">
      <w:pPr>
        <w:pStyle w:val="ListParagraph"/>
        <w:numPr>
          <w:ilvl w:val="0"/>
          <w:numId w:val="5"/>
        </w:numPr>
        <w:spacing w:after="0" w:line="240" w:lineRule="auto"/>
        <w:rPr>
          <w:rFonts w:ascii="Arial" w:eastAsia="Times New Roman" w:hAnsi="Arial" w:cs="Arial"/>
          <w:bCs/>
          <w:color w:val="000000"/>
          <w:sz w:val="28"/>
          <w:szCs w:val="28"/>
        </w:rPr>
      </w:pPr>
      <w:r w:rsidRPr="009C532B">
        <w:rPr>
          <w:rFonts w:ascii="Arial" w:eastAsia="Times New Roman" w:hAnsi="Arial" w:cs="Arial"/>
          <w:bCs/>
          <w:color w:val="000000"/>
          <w:sz w:val="28"/>
          <w:szCs w:val="28"/>
        </w:rPr>
        <w:t xml:space="preserve">The past several years </w:t>
      </w:r>
      <w:proofErr w:type="gramStart"/>
      <w:r w:rsidRPr="009C532B">
        <w:rPr>
          <w:rFonts w:ascii="Arial" w:eastAsia="Times New Roman" w:hAnsi="Arial" w:cs="Arial"/>
          <w:bCs/>
          <w:color w:val="000000"/>
          <w:sz w:val="28"/>
          <w:szCs w:val="28"/>
        </w:rPr>
        <w:t>have</w:t>
      </w:r>
      <w:proofErr w:type="gramEnd"/>
      <w:r w:rsidRPr="009C532B">
        <w:rPr>
          <w:rFonts w:ascii="Arial" w:eastAsia="Times New Roman" w:hAnsi="Arial" w:cs="Arial"/>
          <w:bCs/>
          <w:color w:val="000000"/>
          <w:sz w:val="28"/>
          <w:szCs w:val="28"/>
        </w:rPr>
        <w:t xml:space="preserve"> seen a great emphasis on </w:t>
      </w:r>
      <w:r w:rsidRPr="00544264">
        <w:rPr>
          <w:rFonts w:ascii="Arial" w:eastAsia="Times New Roman" w:hAnsi="Arial" w:cs="Arial"/>
          <w:b/>
          <w:color w:val="000000"/>
          <w:sz w:val="28"/>
          <w:szCs w:val="28"/>
        </w:rPr>
        <w:t>Diversity, Equity, and Inclusion</w:t>
      </w:r>
      <w:r w:rsidRPr="009C532B">
        <w:rPr>
          <w:rFonts w:ascii="Arial" w:eastAsia="Times New Roman" w:hAnsi="Arial" w:cs="Arial"/>
          <w:bCs/>
          <w:color w:val="000000"/>
          <w:sz w:val="28"/>
          <w:szCs w:val="28"/>
        </w:rPr>
        <w:t xml:space="preserve"> (DEI) in the workplace, and the hybrid workplace could potentially diminish the positive impacts that had been occurring. Policies, employee assistance and development programs, and an open and transparent commitment to DEI goals are just a few of the things that will ensure inclusivity and greater staff retention.</w:t>
      </w:r>
    </w:p>
    <w:p w14:paraId="67B550F1" w14:textId="77777777" w:rsidR="00544264" w:rsidRDefault="00544264" w:rsidP="00544264">
      <w:pPr>
        <w:spacing w:after="0" w:line="240" w:lineRule="auto"/>
        <w:rPr>
          <w:rFonts w:ascii="Arial" w:eastAsia="Times New Roman" w:hAnsi="Arial" w:cs="Arial"/>
          <w:bCs/>
          <w:color w:val="000000"/>
          <w:sz w:val="28"/>
          <w:szCs w:val="28"/>
        </w:rPr>
      </w:pPr>
    </w:p>
    <w:p w14:paraId="76002769" w14:textId="3321A9C8" w:rsidR="00544264" w:rsidRDefault="00544264" w:rsidP="00544264">
      <w:pPr>
        <w:spacing w:after="0" w:line="240" w:lineRule="auto"/>
        <w:rPr>
          <w:rFonts w:ascii="Arial" w:eastAsia="Times New Roman" w:hAnsi="Arial" w:cs="Arial"/>
          <w:bCs/>
          <w:color w:val="000000"/>
          <w:sz w:val="28"/>
          <w:szCs w:val="28"/>
        </w:rPr>
      </w:pPr>
      <w:r w:rsidRPr="00544264">
        <w:rPr>
          <w:rFonts w:ascii="Arial" w:eastAsia="Times New Roman" w:hAnsi="Arial" w:cs="Arial"/>
          <w:bCs/>
          <w:color w:val="000000"/>
          <w:sz w:val="28"/>
          <w:szCs w:val="28"/>
        </w:rPr>
        <w:t>A hybrid solution offers a way to satisfy today’s increasingly diverse workforce. These are just a few of the highlights in this all-encompassing topic that continues to impact companies. The resource section below provides a list of articles that offer more in-depth information as a starting point for your examination into this important topic.</w:t>
      </w:r>
    </w:p>
    <w:p w14:paraId="3AB992BD" w14:textId="77777777" w:rsidR="00544264" w:rsidRDefault="00544264" w:rsidP="00544264">
      <w:pPr>
        <w:spacing w:after="0" w:line="240" w:lineRule="auto"/>
        <w:rPr>
          <w:rFonts w:ascii="Arial" w:eastAsia="Times New Roman" w:hAnsi="Arial" w:cs="Arial"/>
          <w:bCs/>
          <w:color w:val="000000"/>
          <w:sz w:val="28"/>
          <w:szCs w:val="28"/>
        </w:rPr>
      </w:pPr>
    </w:p>
    <w:p w14:paraId="06CF1543" w14:textId="1A02E859" w:rsidR="00544264" w:rsidRDefault="00544264" w:rsidP="00544264">
      <w:pPr>
        <w:spacing w:after="0" w:line="240" w:lineRule="auto"/>
        <w:rPr>
          <w:rFonts w:ascii="Arial" w:eastAsia="Times New Roman" w:hAnsi="Arial" w:cs="Arial"/>
          <w:bCs/>
          <w:i/>
          <w:iCs/>
          <w:color w:val="000000"/>
          <w:sz w:val="28"/>
          <w:szCs w:val="28"/>
        </w:rPr>
      </w:pPr>
      <w:r w:rsidRPr="00544264">
        <w:rPr>
          <w:rFonts w:ascii="Arial" w:eastAsia="Times New Roman" w:hAnsi="Arial" w:cs="Arial"/>
          <w:bCs/>
          <w:i/>
          <w:iCs/>
          <w:color w:val="000000"/>
          <w:sz w:val="28"/>
          <w:szCs w:val="28"/>
        </w:rPr>
        <w:t>These hyperlinks are provided solely for your convenience and do not imply Berkley Design Professional's approval or endorsement of such sites or the content therein; nor do they imply any endorsement of Berkley DP by the organizations or sites.</w:t>
      </w:r>
    </w:p>
    <w:p w14:paraId="7DB1DF66" w14:textId="77777777" w:rsidR="00544264" w:rsidRPr="00544264" w:rsidRDefault="00544264" w:rsidP="00544264">
      <w:pPr>
        <w:spacing w:after="0" w:line="240" w:lineRule="auto"/>
        <w:rPr>
          <w:rFonts w:ascii="Arial" w:eastAsia="Times New Roman" w:hAnsi="Arial" w:cs="Arial"/>
          <w:b/>
          <w:color w:val="000000"/>
          <w:sz w:val="28"/>
          <w:szCs w:val="28"/>
        </w:rPr>
      </w:pPr>
    </w:p>
    <w:p w14:paraId="25DE314C" w14:textId="07BC8753" w:rsidR="00544264" w:rsidRPr="004B30EA" w:rsidRDefault="00544264" w:rsidP="00544264">
      <w:pPr>
        <w:spacing w:after="0" w:line="240" w:lineRule="auto"/>
        <w:rPr>
          <w:rFonts w:ascii="Arial" w:eastAsia="Times New Roman" w:hAnsi="Arial" w:cs="Arial"/>
          <w:b/>
          <w:color w:val="000000"/>
        </w:rPr>
      </w:pPr>
      <w:r w:rsidRPr="004B30EA">
        <w:rPr>
          <w:rFonts w:ascii="Arial" w:eastAsia="Times New Roman" w:hAnsi="Arial" w:cs="Arial"/>
          <w:b/>
          <w:color w:val="000000"/>
        </w:rPr>
        <w:t>Design Firms</w:t>
      </w:r>
      <w:r w:rsidRPr="004B30EA">
        <w:rPr>
          <w:rFonts w:ascii="Arial" w:eastAsia="Times New Roman" w:hAnsi="Arial" w:cs="Arial"/>
          <w:b/>
          <w:color w:val="000000"/>
        </w:rPr>
        <w:t>:</w:t>
      </w:r>
    </w:p>
    <w:p w14:paraId="2D17E668" w14:textId="77777777" w:rsidR="00544264" w:rsidRPr="004B30EA" w:rsidRDefault="00544264" w:rsidP="00544264">
      <w:pPr>
        <w:spacing w:after="0" w:line="240" w:lineRule="auto"/>
        <w:rPr>
          <w:rFonts w:ascii="Arial" w:eastAsia="Times New Roman" w:hAnsi="Arial" w:cs="Arial"/>
          <w:b/>
          <w:color w:val="000000"/>
        </w:rPr>
      </w:pPr>
    </w:p>
    <w:p w14:paraId="0FE9A5D0" w14:textId="0215C720" w:rsidR="00544264" w:rsidRPr="004B30EA" w:rsidRDefault="00191261" w:rsidP="00191261">
      <w:pPr>
        <w:pStyle w:val="ListParagraph"/>
        <w:numPr>
          <w:ilvl w:val="0"/>
          <w:numId w:val="6"/>
        </w:numPr>
        <w:spacing w:after="0" w:line="240" w:lineRule="auto"/>
        <w:rPr>
          <w:rFonts w:ascii="Arial" w:eastAsia="Times New Roman" w:hAnsi="Arial" w:cs="Arial"/>
          <w:bCs/>
          <w:color w:val="000000"/>
        </w:rPr>
      </w:pPr>
      <w:hyperlink r:id="rId10" w:history="1">
        <w:r w:rsidRPr="004B30EA">
          <w:rPr>
            <w:rStyle w:val="Hyperlink"/>
            <w:rFonts w:ascii="Arial" w:eastAsia="Times New Roman" w:hAnsi="Arial" w:cs="Arial"/>
            <w:bCs/>
          </w:rPr>
          <w:t>https://www.gensler.com/blog/5-considerations-for-a-better-hybrid-work-experi</w:t>
        </w:r>
        <w:r w:rsidRPr="004B30EA">
          <w:rPr>
            <w:rStyle w:val="Hyperlink"/>
            <w:rFonts w:ascii="Arial" w:eastAsia="Times New Roman" w:hAnsi="Arial" w:cs="Arial"/>
            <w:bCs/>
          </w:rPr>
          <w:t>ence</w:t>
        </w:r>
      </w:hyperlink>
    </w:p>
    <w:p w14:paraId="3AEAE65E" w14:textId="6A0DE8CF" w:rsidR="00191261" w:rsidRPr="004B30EA" w:rsidRDefault="00191261" w:rsidP="00191261">
      <w:pPr>
        <w:pStyle w:val="ListParagraph"/>
        <w:numPr>
          <w:ilvl w:val="0"/>
          <w:numId w:val="6"/>
        </w:numPr>
        <w:spacing w:after="0" w:line="240" w:lineRule="auto"/>
        <w:rPr>
          <w:rFonts w:ascii="Arial" w:eastAsia="Times New Roman" w:hAnsi="Arial" w:cs="Arial"/>
          <w:bCs/>
          <w:color w:val="000000"/>
        </w:rPr>
      </w:pPr>
      <w:hyperlink r:id="rId11" w:history="1">
        <w:r w:rsidRPr="004B30EA">
          <w:rPr>
            <w:rStyle w:val="Hyperlink"/>
            <w:rFonts w:ascii="Arial" w:eastAsia="Times New Roman" w:hAnsi="Arial" w:cs="Arial"/>
            <w:bCs/>
          </w:rPr>
          <w:t>https://www.workdesign.com/2023/02/navigating-the-complexity-of-the-hybrid-workplace-design-process/</w:t>
        </w:r>
      </w:hyperlink>
    </w:p>
    <w:p w14:paraId="20A16168" w14:textId="09707D62" w:rsidR="00191261" w:rsidRPr="004B30EA" w:rsidRDefault="00191261" w:rsidP="00191261">
      <w:pPr>
        <w:pStyle w:val="ListParagraph"/>
        <w:numPr>
          <w:ilvl w:val="0"/>
          <w:numId w:val="6"/>
        </w:numPr>
        <w:spacing w:after="0" w:line="240" w:lineRule="auto"/>
        <w:rPr>
          <w:rFonts w:ascii="Arial" w:eastAsia="Times New Roman" w:hAnsi="Arial" w:cs="Arial"/>
          <w:bCs/>
          <w:color w:val="000000"/>
        </w:rPr>
      </w:pPr>
      <w:hyperlink r:id="rId12" w:history="1">
        <w:r w:rsidRPr="004B30EA">
          <w:rPr>
            <w:rStyle w:val="Hyperlink"/>
            <w:rFonts w:ascii="Arial" w:eastAsia="Times New Roman" w:hAnsi="Arial" w:cs="Arial"/>
            <w:bCs/>
          </w:rPr>
          <w:t>https://gbdmagazine.com/hybrid-office-design/</w:t>
        </w:r>
      </w:hyperlink>
    </w:p>
    <w:p w14:paraId="3C80F640" w14:textId="6CA96ACA" w:rsidR="00191261" w:rsidRPr="004B30EA" w:rsidRDefault="00191261" w:rsidP="00191261">
      <w:pPr>
        <w:pStyle w:val="ListParagraph"/>
        <w:numPr>
          <w:ilvl w:val="0"/>
          <w:numId w:val="6"/>
        </w:numPr>
        <w:spacing w:after="0" w:line="240" w:lineRule="auto"/>
        <w:rPr>
          <w:rFonts w:ascii="Arial" w:eastAsia="Times New Roman" w:hAnsi="Arial" w:cs="Arial"/>
          <w:bCs/>
          <w:color w:val="000000"/>
        </w:rPr>
      </w:pPr>
      <w:hyperlink r:id="rId13" w:history="1">
        <w:r w:rsidRPr="004B30EA">
          <w:rPr>
            <w:rStyle w:val="Hyperlink"/>
            <w:rFonts w:ascii="Arial" w:eastAsia="Times New Roman" w:hAnsi="Arial" w:cs="Arial"/>
            <w:bCs/>
          </w:rPr>
          <w:t>https://time.com/charter/6168505/architects-work-space</w:t>
        </w:r>
        <w:r w:rsidRPr="004B30EA">
          <w:rPr>
            <w:rStyle w:val="Hyperlink"/>
            <w:rFonts w:ascii="Arial" w:eastAsia="Times New Roman" w:hAnsi="Arial" w:cs="Arial"/>
            <w:bCs/>
          </w:rPr>
          <w:t>/</w:t>
        </w:r>
      </w:hyperlink>
    </w:p>
    <w:p w14:paraId="5E06D257" w14:textId="77777777" w:rsidR="00191261" w:rsidRPr="004B30EA" w:rsidRDefault="00191261" w:rsidP="00191261">
      <w:pPr>
        <w:spacing w:after="0" w:line="240" w:lineRule="auto"/>
        <w:rPr>
          <w:rFonts w:ascii="Arial" w:eastAsia="Times New Roman" w:hAnsi="Arial" w:cs="Arial"/>
          <w:bCs/>
          <w:color w:val="000000"/>
        </w:rPr>
      </w:pPr>
    </w:p>
    <w:p w14:paraId="503CFDC1" w14:textId="77777777" w:rsidR="00191261" w:rsidRPr="004B30EA" w:rsidRDefault="00191261" w:rsidP="00191261">
      <w:pPr>
        <w:spacing w:after="0" w:line="240" w:lineRule="auto"/>
        <w:rPr>
          <w:rFonts w:ascii="Arial" w:eastAsia="Times New Roman" w:hAnsi="Arial" w:cs="Arial"/>
          <w:b/>
          <w:color w:val="000000"/>
        </w:rPr>
      </w:pPr>
    </w:p>
    <w:p w14:paraId="4EDFAD74" w14:textId="332096B7" w:rsidR="00191261" w:rsidRPr="004B30EA" w:rsidRDefault="00191261" w:rsidP="00191261">
      <w:pPr>
        <w:spacing w:after="0" w:line="240" w:lineRule="auto"/>
        <w:rPr>
          <w:rFonts w:ascii="Arial" w:eastAsia="Times New Roman" w:hAnsi="Arial" w:cs="Arial"/>
          <w:b/>
          <w:color w:val="000000"/>
        </w:rPr>
      </w:pPr>
      <w:r w:rsidRPr="004B30EA">
        <w:rPr>
          <w:rFonts w:ascii="Arial" w:eastAsia="Times New Roman" w:hAnsi="Arial" w:cs="Arial"/>
          <w:b/>
          <w:color w:val="000000"/>
        </w:rPr>
        <w:t>Vendors</w:t>
      </w:r>
      <w:r w:rsidRPr="004B30EA">
        <w:rPr>
          <w:rFonts w:ascii="Arial" w:eastAsia="Times New Roman" w:hAnsi="Arial" w:cs="Arial"/>
          <w:b/>
          <w:color w:val="000000"/>
        </w:rPr>
        <w:t>:</w:t>
      </w:r>
    </w:p>
    <w:p w14:paraId="6C8DBDEA" w14:textId="266AF6A6" w:rsidR="00191261" w:rsidRPr="004B30EA" w:rsidRDefault="00191261" w:rsidP="00191261">
      <w:pPr>
        <w:pStyle w:val="ListParagraph"/>
        <w:numPr>
          <w:ilvl w:val="0"/>
          <w:numId w:val="7"/>
        </w:numPr>
        <w:spacing w:after="0" w:line="240" w:lineRule="auto"/>
        <w:rPr>
          <w:rFonts w:ascii="Arial" w:eastAsia="Times New Roman" w:hAnsi="Arial" w:cs="Arial"/>
          <w:bCs/>
          <w:color w:val="000000"/>
        </w:rPr>
      </w:pPr>
      <w:hyperlink r:id="rId14" w:history="1">
        <w:r w:rsidRPr="004B30EA">
          <w:rPr>
            <w:rStyle w:val="Hyperlink"/>
            <w:rFonts w:ascii="Arial" w:eastAsia="Times New Roman" w:hAnsi="Arial" w:cs="Arial"/>
            <w:bCs/>
          </w:rPr>
          <w:t>https://www.steelcase.com/eu-en/research/articles/topics/culture-talent/leadership-by-design/</w:t>
        </w:r>
      </w:hyperlink>
    </w:p>
    <w:p w14:paraId="0AAEFE59" w14:textId="18B09777" w:rsidR="00191261" w:rsidRPr="004B30EA" w:rsidRDefault="00191261" w:rsidP="00191261">
      <w:pPr>
        <w:pStyle w:val="ListParagraph"/>
        <w:numPr>
          <w:ilvl w:val="0"/>
          <w:numId w:val="7"/>
        </w:numPr>
        <w:spacing w:after="0" w:line="240" w:lineRule="auto"/>
        <w:rPr>
          <w:rFonts w:ascii="Arial" w:eastAsia="Times New Roman" w:hAnsi="Arial" w:cs="Arial"/>
          <w:bCs/>
          <w:color w:val="000000"/>
        </w:rPr>
      </w:pPr>
      <w:hyperlink r:id="rId15" w:history="1">
        <w:r w:rsidRPr="004B30EA">
          <w:rPr>
            <w:rStyle w:val="Hyperlink"/>
            <w:rFonts w:ascii="Arial" w:eastAsia="Times New Roman" w:hAnsi="Arial" w:cs="Arial"/>
            <w:bCs/>
          </w:rPr>
          <w:t>https://www.hermanmiller.com/content/dam/hermanmiller/documents/future_of_work/drivers_of_change_for_the_future_of_work.pdf</w:t>
        </w:r>
      </w:hyperlink>
    </w:p>
    <w:p w14:paraId="253888FC" w14:textId="02B66AF9" w:rsidR="00191261" w:rsidRPr="004B30EA" w:rsidRDefault="00191261" w:rsidP="00191261">
      <w:pPr>
        <w:pStyle w:val="ListParagraph"/>
        <w:numPr>
          <w:ilvl w:val="0"/>
          <w:numId w:val="7"/>
        </w:numPr>
        <w:spacing w:after="0" w:line="240" w:lineRule="auto"/>
        <w:rPr>
          <w:rFonts w:ascii="Arial" w:eastAsia="Times New Roman" w:hAnsi="Arial" w:cs="Arial"/>
          <w:bCs/>
          <w:color w:val="000000"/>
        </w:rPr>
      </w:pPr>
      <w:hyperlink r:id="rId16" w:history="1">
        <w:r w:rsidRPr="004B30EA">
          <w:rPr>
            <w:rStyle w:val="Hyperlink"/>
            <w:rFonts w:ascii="Arial" w:eastAsia="Times New Roman" w:hAnsi="Arial" w:cs="Arial"/>
            <w:bCs/>
          </w:rPr>
          <w:t>https://k2space.co.uk/knowledge/hybrid-office-design/</w:t>
        </w:r>
      </w:hyperlink>
    </w:p>
    <w:p w14:paraId="6FD10EB7" w14:textId="77777777" w:rsidR="00191261" w:rsidRPr="004B30EA" w:rsidRDefault="00191261" w:rsidP="00191261">
      <w:pPr>
        <w:spacing w:after="0" w:line="240" w:lineRule="auto"/>
        <w:rPr>
          <w:rFonts w:ascii="Arial" w:eastAsia="Times New Roman" w:hAnsi="Arial" w:cs="Arial"/>
          <w:b/>
          <w:color w:val="000000"/>
        </w:rPr>
      </w:pPr>
    </w:p>
    <w:p w14:paraId="39AFF604" w14:textId="77777777" w:rsidR="00191261" w:rsidRPr="004B30EA" w:rsidRDefault="00191261" w:rsidP="00191261">
      <w:pPr>
        <w:spacing w:after="0" w:line="240" w:lineRule="auto"/>
        <w:rPr>
          <w:rFonts w:ascii="Arial" w:eastAsia="Times New Roman" w:hAnsi="Arial" w:cs="Arial"/>
          <w:b/>
          <w:color w:val="000000"/>
        </w:rPr>
      </w:pPr>
    </w:p>
    <w:p w14:paraId="3CED5C3B" w14:textId="6A748A66" w:rsidR="00191261" w:rsidRPr="004B30EA" w:rsidRDefault="00191261" w:rsidP="00191261">
      <w:pPr>
        <w:spacing w:after="0" w:line="240" w:lineRule="auto"/>
        <w:rPr>
          <w:rFonts w:ascii="Arial" w:eastAsia="Times New Roman" w:hAnsi="Arial" w:cs="Arial"/>
          <w:b/>
          <w:color w:val="000000"/>
        </w:rPr>
      </w:pPr>
      <w:r w:rsidRPr="004B30EA">
        <w:rPr>
          <w:rFonts w:ascii="Arial" w:eastAsia="Times New Roman" w:hAnsi="Arial" w:cs="Arial"/>
          <w:b/>
          <w:color w:val="000000"/>
        </w:rPr>
        <w:t>Professional Journals and Associations</w:t>
      </w:r>
      <w:r w:rsidRPr="004B30EA">
        <w:rPr>
          <w:rFonts w:ascii="Arial" w:eastAsia="Times New Roman" w:hAnsi="Arial" w:cs="Arial"/>
          <w:b/>
          <w:color w:val="000000"/>
        </w:rPr>
        <w:t>:</w:t>
      </w:r>
    </w:p>
    <w:p w14:paraId="1BA179D8" w14:textId="0260141C" w:rsidR="00191261" w:rsidRPr="004B30EA" w:rsidRDefault="00191261" w:rsidP="00191261">
      <w:pPr>
        <w:pStyle w:val="ListParagraph"/>
        <w:numPr>
          <w:ilvl w:val="0"/>
          <w:numId w:val="8"/>
        </w:numPr>
        <w:spacing w:after="0" w:line="240" w:lineRule="auto"/>
        <w:rPr>
          <w:rFonts w:ascii="Arial" w:eastAsia="Times New Roman" w:hAnsi="Arial" w:cs="Arial"/>
          <w:bCs/>
          <w:color w:val="000000"/>
        </w:rPr>
      </w:pPr>
      <w:hyperlink r:id="rId17" w:history="1">
        <w:r w:rsidRPr="004B30EA">
          <w:rPr>
            <w:rStyle w:val="Hyperlink"/>
            <w:rFonts w:ascii="Arial" w:eastAsia="Times New Roman" w:hAnsi="Arial" w:cs="Arial"/>
            <w:bCs/>
          </w:rPr>
          <w:t>https://hbr.org/2021/03/designing-the-hybrid-office</w:t>
        </w:r>
      </w:hyperlink>
    </w:p>
    <w:p w14:paraId="05C5CB6E" w14:textId="36CD44C7" w:rsidR="00191261" w:rsidRPr="004B30EA" w:rsidRDefault="00191261" w:rsidP="00191261">
      <w:pPr>
        <w:pStyle w:val="ListParagraph"/>
        <w:numPr>
          <w:ilvl w:val="0"/>
          <w:numId w:val="8"/>
        </w:numPr>
        <w:spacing w:after="0" w:line="240" w:lineRule="auto"/>
        <w:rPr>
          <w:rFonts w:ascii="Arial" w:eastAsia="Times New Roman" w:hAnsi="Arial" w:cs="Arial"/>
          <w:bCs/>
          <w:color w:val="000000"/>
        </w:rPr>
      </w:pPr>
      <w:hyperlink r:id="rId18" w:history="1">
        <w:r w:rsidRPr="004B30EA">
          <w:rPr>
            <w:rStyle w:val="Hyperlink"/>
            <w:rFonts w:ascii="Arial" w:eastAsia="Times New Roman" w:hAnsi="Arial" w:cs="Arial"/>
            <w:bCs/>
          </w:rPr>
          <w:t>https://hbr.org/2021/09/12-questions-about-hybrid-work-answered</w:t>
        </w:r>
      </w:hyperlink>
    </w:p>
    <w:p w14:paraId="4F40FEE5" w14:textId="4F97EEB9" w:rsidR="00191261" w:rsidRPr="004B30EA" w:rsidRDefault="00191261" w:rsidP="00191261">
      <w:pPr>
        <w:pStyle w:val="ListParagraph"/>
        <w:numPr>
          <w:ilvl w:val="0"/>
          <w:numId w:val="8"/>
        </w:numPr>
        <w:spacing w:after="0" w:line="240" w:lineRule="auto"/>
        <w:rPr>
          <w:rFonts w:ascii="Arial" w:eastAsia="Times New Roman" w:hAnsi="Arial" w:cs="Arial"/>
          <w:bCs/>
          <w:color w:val="000000"/>
        </w:rPr>
      </w:pPr>
      <w:hyperlink r:id="rId19" w:history="1">
        <w:r w:rsidRPr="004B30EA">
          <w:rPr>
            <w:rStyle w:val="Hyperlink"/>
            <w:rFonts w:ascii="Arial" w:eastAsia="Times New Roman" w:hAnsi="Arial" w:cs="Arial"/>
            <w:bCs/>
          </w:rPr>
          <w:t>https://www.iofficecorp.com/blog/hybrid-office-examples</w:t>
        </w:r>
      </w:hyperlink>
    </w:p>
    <w:p w14:paraId="6A73976A" w14:textId="34E10675" w:rsidR="00191261" w:rsidRPr="004B30EA" w:rsidRDefault="00191261" w:rsidP="00191261">
      <w:pPr>
        <w:pStyle w:val="ListParagraph"/>
        <w:numPr>
          <w:ilvl w:val="0"/>
          <w:numId w:val="8"/>
        </w:numPr>
        <w:spacing w:after="0" w:line="240" w:lineRule="auto"/>
        <w:rPr>
          <w:rFonts w:ascii="Arial" w:eastAsia="Times New Roman" w:hAnsi="Arial" w:cs="Arial"/>
          <w:bCs/>
          <w:color w:val="000000"/>
        </w:rPr>
      </w:pPr>
      <w:hyperlink r:id="rId20" w:history="1">
        <w:r w:rsidRPr="004B30EA">
          <w:rPr>
            <w:rStyle w:val="Hyperlink"/>
            <w:rFonts w:ascii="Arial" w:eastAsia="Times New Roman" w:hAnsi="Arial" w:cs="Arial"/>
            <w:bCs/>
          </w:rPr>
          <w:t>https://www.tallyworkspace.com/articles/an-interview-with-commercial-interior-designer-heather-lehmann-how-to-design-a-hybrid-office</w:t>
        </w:r>
      </w:hyperlink>
    </w:p>
    <w:p w14:paraId="173E77FB" w14:textId="77777777" w:rsidR="00191261" w:rsidRPr="004B30EA" w:rsidRDefault="00191261" w:rsidP="00191261">
      <w:pPr>
        <w:spacing w:after="0" w:line="240" w:lineRule="auto"/>
        <w:rPr>
          <w:rFonts w:ascii="Arial" w:eastAsia="Times New Roman" w:hAnsi="Arial" w:cs="Arial"/>
          <w:bCs/>
          <w:color w:val="000000"/>
        </w:rPr>
      </w:pPr>
    </w:p>
    <w:p w14:paraId="140B5743" w14:textId="69D2E8A3" w:rsidR="00191261" w:rsidRPr="004B30EA" w:rsidRDefault="00191261" w:rsidP="00191261">
      <w:pPr>
        <w:spacing w:after="0" w:line="240" w:lineRule="auto"/>
        <w:rPr>
          <w:rFonts w:ascii="Arial" w:eastAsia="Times New Roman" w:hAnsi="Arial" w:cs="Arial"/>
          <w:b/>
          <w:color w:val="000000"/>
        </w:rPr>
      </w:pPr>
      <w:r w:rsidRPr="004B30EA">
        <w:rPr>
          <w:rFonts w:ascii="Arial" w:eastAsia="Times New Roman" w:hAnsi="Arial" w:cs="Arial"/>
          <w:b/>
          <w:color w:val="000000"/>
        </w:rPr>
        <w:t>Hybrid Work Risks</w:t>
      </w:r>
      <w:r w:rsidRPr="004B30EA">
        <w:rPr>
          <w:rFonts w:ascii="Arial" w:eastAsia="Times New Roman" w:hAnsi="Arial" w:cs="Arial"/>
          <w:b/>
          <w:color w:val="000000"/>
        </w:rPr>
        <w:t>:</w:t>
      </w:r>
    </w:p>
    <w:p w14:paraId="64995708" w14:textId="42C1CEF3"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1" w:history="1">
        <w:r w:rsidRPr="004B30EA">
          <w:rPr>
            <w:rStyle w:val="Hyperlink"/>
            <w:rFonts w:ascii="Arial" w:eastAsia="Times New Roman" w:hAnsi="Arial" w:cs="Arial"/>
            <w:bCs/>
          </w:rPr>
          <w:t>https://riskonnect.com/integrated-risk-management/hybrid-working-risks/</w:t>
        </w:r>
      </w:hyperlink>
    </w:p>
    <w:p w14:paraId="7EF30533" w14:textId="162C5696"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2" w:history="1">
        <w:r w:rsidRPr="004B30EA">
          <w:rPr>
            <w:rStyle w:val="Hyperlink"/>
            <w:rFonts w:ascii="Arial" w:eastAsia="Times New Roman" w:hAnsi="Arial" w:cs="Arial"/>
            <w:bCs/>
          </w:rPr>
          <w:t>https://www.mckinsey.com/capabilities/people-and-organizational-performance/our-insights/the-organization-blog/the-future-of-work-managing-three-risks-of-the-hybrid-workplace</w:t>
        </w:r>
      </w:hyperlink>
    </w:p>
    <w:p w14:paraId="5ADE84C9" w14:textId="00109F29"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3" w:history="1">
        <w:r w:rsidRPr="004B30EA">
          <w:rPr>
            <w:rStyle w:val="Hyperlink"/>
            <w:rFonts w:ascii="Arial" w:eastAsia="Times New Roman" w:hAnsi="Arial" w:cs="Arial"/>
            <w:bCs/>
          </w:rPr>
          <w:t>https://www.mckinsey.com/capabilities/people-and-organizational-performance/our-insights/the-organization-blog/the-future-of-the-workplace-embracing-change-and-fostering-connectivity</w:t>
        </w:r>
      </w:hyperlink>
    </w:p>
    <w:p w14:paraId="437BA8C8" w14:textId="7CFF526A"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4" w:history="1">
        <w:r w:rsidRPr="004B30EA">
          <w:rPr>
            <w:rStyle w:val="Hyperlink"/>
            <w:rFonts w:ascii="Arial" w:eastAsia="Times New Roman" w:hAnsi="Arial" w:cs="Arial"/>
            <w:bCs/>
          </w:rPr>
          <w:t>https://hbr.org/2022/02/5-challenges-of-hybrid-work-and-how-to-overcome-them</w:t>
        </w:r>
      </w:hyperlink>
    </w:p>
    <w:p w14:paraId="2664B9F3" w14:textId="23BEAE16"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5" w:history="1">
        <w:r w:rsidRPr="004B30EA">
          <w:rPr>
            <w:rStyle w:val="Hyperlink"/>
            <w:rFonts w:ascii="Arial" w:eastAsia="Times New Roman" w:hAnsi="Arial" w:cs="Arial"/>
            <w:bCs/>
          </w:rPr>
          <w:t>https://rmi.com.sg/2021/10/15/5-major-risks-of-hybrid-work-model/</w:t>
        </w:r>
      </w:hyperlink>
    </w:p>
    <w:p w14:paraId="43415066" w14:textId="2EF2D7A1"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6" w:history="1">
        <w:r w:rsidRPr="004B30EA">
          <w:rPr>
            <w:rStyle w:val="Hyperlink"/>
            <w:rFonts w:ascii="Arial" w:eastAsia="Times New Roman" w:hAnsi="Arial" w:cs="Arial"/>
            <w:bCs/>
          </w:rPr>
          <w:t>https://web-assets.bcg.com/74/33/14077446434fa8685891ba0e2e69/bcg-decoding-global-ways-of-working-mar-2021.pdf</w:t>
        </w:r>
      </w:hyperlink>
    </w:p>
    <w:p w14:paraId="34FBD01A" w14:textId="6B4B6230"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7" w:history="1">
        <w:r w:rsidRPr="004B30EA">
          <w:rPr>
            <w:rStyle w:val="Hyperlink"/>
            <w:rFonts w:ascii="Arial" w:eastAsia="Times New Roman" w:hAnsi="Arial" w:cs="Arial"/>
            <w:bCs/>
          </w:rPr>
          <w:t>https://siepr.stanford.edu/publications/policy-brief/hybrid-future-work</w:t>
        </w:r>
      </w:hyperlink>
    </w:p>
    <w:p w14:paraId="56568B72" w14:textId="57164D30"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8" w:history="1">
        <w:r w:rsidRPr="004B30EA">
          <w:rPr>
            <w:rStyle w:val="Hyperlink"/>
            <w:rFonts w:ascii="Arial" w:eastAsia="Times New Roman" w:hAnsi="Arial" w:cs="Arial"/>
            <w:bCs/>
          </w:rPr>
          <w:t>https://www.knightfrank.co.uk/office-space/insights/culture-and-space/creating-company-culture-in-a-hybrid-working-model/</w:t>
        </w:r>
      </w:hyperlink>
    </w:p>
    <w:p w14:paraId="0B24E756" w14:textId="4AD68805" w:rsidR="00191261" w:rsidRPr="004B30EA" w:rsidRDefault="00191261" w:rsidP="00191261">
      <w:pPr>
        <w:pStyle w:val="ListParagraph"/>
        <w:numPr>
          <w:ilvl w:val="0"/>
          <w:numId w:val="9"/>
        </w:numPr>
        <w:spacing w:after="0" w:line="240" w:lineRule="auto"/>
        <w:rPr>
          <w:rFonts w:ascii="Arial" w:eastAsia="Times New Roman" w:hAnsi="Arial" w:cs="Arial"/>
          <w:bCs/>
          <w:color w:val="000000"/>
        </w:rPr>
      </w:pPr>
      <w:hyperlink r:id="rId29" w:history="1">
        <w:r w:rsidRPr="004B30EA">
          <w:rPr>
            <w:rStyle w:val="Hyperlink"/>
            <w:rFonts w:ascii="Arial" w:eastAsia="Times New Roman" w:hAnsi="Arial" w:cs="Arial"/>
            <w:bCs/>
          </w:rPr>
          <w:t>https://blog.darwinbox.com/diversity-equity-inclusion-hybrid-work</w:t>
        </w:r>
      </w:hyperlink>
    </w:p>
    <w:p w14:paraId="12B1A85A" w14:textId="77777777" w:rsidR="00191261" w:rsidRDefault="00191261" w:rsidP="00191261">
      <w:pPr>
        <w:spacing w:after="0" w:line="240" w:lineRule="auto"/>
        <w:rPr>
          <w:rFonts w:ascii="Arial" w:eastAsia="Times New Roman" w:hAnsi="Arial" w:cs="Arial"/>
          <w:bCs/>
          <w:color w:val="000000"/>
          <w:sz w:val="28"/>
          <w:szCs w:val="28"/>
        </w:rPr>
      </w:pPr>
    </w:p>
    <w:p w14:paraId="37F152AD" w14:textId="6F74A4CF" w:rsidR="00191261" w:rsidRPr="00191261" w:rsidRDefault="00191261" w:rsidP="00191261">
      <w:pPr>
        <w:spacing w:after="0" w:line="240" w:lineRule="auto"/>
        <w:rPr>
          <w:rFonts w:ascii="Arial" w:eastAsia="Times New Roman" w:hAnsi="Arial" w:cs="Arial"/>
          <w:bCs/>
          <w:color w:val="000000"/>
          <w:sz w:val="28"/>
          <w:szCs w:val="28"/>
        </w:rPr>
      </w:pPr>
      <w:r>
        <w:rPr>
          <w:rFonts w:ascii="Arial" w:eastAsia="Times New Roman" w:hAnsi="Arial" w:cs="Arial"/>
          <w:bCs/>
          <w:noProof/>
          <w:color w:val="000000"/>
          <w:sz w:val="28"/>
          <w:szCs w:val="28"/>
        </w:rPr>
        <w:lastRenderedPageBreak/>
        <w:drawing>
          <wp:inline distT="0" distB="0" distL="0" distR="0" wp14:anchorId="50B3924A" wp14:editId="1A8CC16C">
            <wp:extent cx="6429955" cy="2226752"/>
            <wp:effectExtent l="0" t="0" r="0" b="2540"/>
            <wp:docPr id="364696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54233" cy="2235160"/>
                    </a:xfrm>
                    <a:prstGeom prst="rect">
                      <a:avLst/>
                    </a:prstGeom>
                    <a:noFill/>
                  </pic:spPr>
                </pic:pic>
              </a:graphicData>
            </a:graphic>
          </wp:inline>
        </w:drawing>
      </w:r>
    </w:p>
    <w:p w14:paraId="68B04854" w14:textId="77777777" w:rsidR="00827C8B" w:rsidRDefault="00827C8B" w:rsidP="00827C8B">
      <w:pPr>
        <w:autoSpaceDE w:val="0"/>
        <w:autoSpaceDN w:val="0"/>
        <w:adjustRightInd w:val="0"/>
        <w:spacing w:after="0" w:line="240" w:lineRule="auto"/>
        <w:rPr>
          <w:rFonts w:ascii="Calibri Light" w:hAnsi="Calibri Light" w:cs="Calibri Light"/>
          <w:color w:val="000000"/>
          <w:sz w:val="16"/>
          <w:szCs w:val="16"/>
        </w:rPr>
      </w:pPr>
      <w:r w:rsidRPr="00827C8B">
        <w:rPr>
          <w:rFonts w:ascii="Calibri Light" w:hAnsi="Calibri Light" w:cs="Calibri Light"/>
          <w:color w:val="000000"/>
          <w:sz w:val="16"/>
          <w:szCs w:val="16"/>
        </w:rPr>
        <w:t xml:space="preserve">Information provided by Berkley Design Professional is for general interest and risk management purposes only and should not be construed as legal advice nor confirmation of insurance coverage. As laws regarding the use and enforceability of the information contained herein will vary depending upon jurisdiction, the user of the information should consult with an attorney experienced in the laws and regulations of the appropriate jurisdiction for the full legal implications of the information. </w:t>
      </w:r>
    </w:p>
    <w:p w14:paraId="2CF3E180" w14:textId="77777777" w:rsidR="00827C8B" w:rsidRPr="00827C8B" w:rsidRDefault="00827C8B" w:rsidP="00827C8B">
      <w:pPr>
        <w:autoSpaceDE w:val="0"/>
        <w:autoSpaceDN w:val="0"/>
        <w:adjustRightInd w:val="0"/>
        <w:spacing w:after="0" w:line="240" w:lineRule="auto"/>
        <w:rPr>
          <w:rFonts w:ascii="Calibri Light" w:hAnsi="Calibri Light" w:cs="Calibri Light"/>
          <w:color w:val="000000"/>
          <w:sz w:val="16"/>
          <w:szCs w:val="16"/>
        </w:rPr>
      </w:pPr>
    </w:p>
    <w:p w14:paraId="4DD39C2D" w14:textId="77777777" w:rsidR="00827C8B" w:rsidRDefault="00827C8B" w:rsidP="00827C8B">
      <w:pPr>
        <w:autoSpaceDE w:val="0"/>
        <w:autoSpaceDN w:val="0"/>
        <w:adjustRightInd w:val="0"/>
        <w:spacing w:after="0" w:line="240" w:lineRule="auto"/>
        <w:rPr>
          <w:rFonts w:ascii="Calibri Light" w:hAnsi="Calibri Light" w:cs="Calibri Light"/>
          <w:color w:val="000000"/>
          <w:sz w:val="16"/>
          <w:szCs w:val="16"/>
        </w:rPr>
      </w:pPr>
      <w:r w:rsidRPr="00827C8B">
        <w:rPr>
          <w:rFonts w:ascii="Calibri Light" w:hAnsi="Calibri Light" w:cs="Calibri Light"/>
          <w:color w:val="000000"/>
          <w:sz w:val="16"/>
          <w:szCs w:val="16"/>
        </w:rPr>
        <w:t xml:space="preserve">Practice management recommendations should be carefully reviewed and adapted for the </w:t>
      </w:r>
      <w:proofErr w:type="gramStart"/>
      <w:r w:rsidRPr="00827C8B">
        <w:rPr>
          <w:rFonts w:ascii="Calibri Light" w:hAnsi="Calibri Light" w:cs="Calibri Light"/>
          <w:color w:val="000000"/>
          <w:sz w:val="16"/>
          <w:szCs w:val="16"/>
        </w:rPr>
        <w:t>particular project</w:t>
      </w:r>
      <w:proofErr w:type="gramEnd"/>
      <w:r w:rsidRPr="00827C8B">
        <w:rPr>
          <w:rFonts w:ascii="Calibri Light" w:hAnsi="Calibri Light" w:cs="Calibri Light"/>
          <w:color w:val="000000"/>
          <w:sz w:val="16"/>
          <w:szCs w:val="16"/>
        </w:rPr>
        <w:t xml:space="preserve"> requirements, firm standards and protocols established by the design professional. </w:t>
      </w:r>
    </w:p>
    <w:p w14:paraId="6ACC4C88" w14:textId="77777777" w:rsidR="00827C8B" w:rsidRPr="00827C8B" w:rsidRDefault="00827C8B" w:rsidP="00827C8B">
      <w:pPr>
        <w:autoSpaceDE w:val="0"/>
        <w:autoSpaceDN w:val="0"/>
        <w:adjustRightInd w:val="0"/>
        <w:spacing w:after="0" w:line="240" w:lineRule="auto"/>
        <w:rPr>
          <w:rFonts w:ascii="Calibri Light" w:hAnsi="Calibri Light" w:cs="Calibri Light"/>
          <w:color w:val="000000"/>
          <w:sz w:val="16"/>
          <w:szCs w:val="16"/>
        </w:rPr>
      </w:pPr>
    </w:p>
    <w:p w14:paraId="2369C427" w14:textId="4A1B5199" w:rsidR="00191261" w:rsidRPr="00191261" w:rsidRDefault="00827C8B" w:rsidP="00827C8B">
      <w:pPr>
        <w:spacing w:after="0" w:line="240" w:lineRule="auto"/>
        <w:rPr>
          <w:rFonts w:ascii="Arial" w:eastAsia="Times New Roman" w:hAnsi="Arial" w:cs="Arial"/>
          <w:b/>
          <w:color w:val="000000"/>
          <w:sz w:val="28"/>
          <w:szCs w:val="28"/>
        </w:rPr>
      </w:pPr>
      <w:r w:rsidRPr="00827C8B">
        <w:rPr>
          <w:rFonts w:ascii="Calibri Light" w:hAnsi="Calibri Light" w:cs="Calibri Light"/>
          <w:color w:val="000000"/>
          <w:sz w:val="16"/>
          <w:szCs w:val="16"/>
        </w:rPr>
        <w:t>Products and services are provided by one or more insurance company subsidiaries of W. R. Berkley Corporation. Not all products and services are available in every jurisdiction, and the precise coverage afforded by any insurer is subject to the actual terms and conditions of the policies as issued.</w:t>
      </w:r>
      <w:bookmarkEnd w:id="0"/>
    </w:p>
    <w:sectPr w:rsidR="00191261" w:rsidRPr="00191261" w:rsidSect="004269C6">
      <w:headerReference w:type="default" r:id="rId31"/>
      <w:footerReference w:type="default" r:id="rId3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EF10C" w14:textId="77777777" w:rsidR="00A251F6" w:rsidRDefault="00A251F6">
      <w:pPr>
        <w:spacing w:after="0" w:line="240" w:lineRule="auto"/>
      </w:pPr>
      <w:r>
        <w:separator/>
      </w:r>
    </w:p>
  </w:endnote>
  <w:endnote w:type="continuationSeparator" w:id="0">
    <w:p w14:paraId="5883A516" w14:textId="77777777" w:rsidR="00A251F6" w:rsidRDefault="00A2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AC05AA" w14:paraId="3F90A7F2" w14:textId="77777777" w:rsidTr="29AC05AA">
      <w:trPr>
        <w:trHeight w:val="300"/>
      </w:trPr>
      <w:tc>
        <w:tcPr>
          <w:tcW w:w="3120" w:type="dxa"/>
        </w:tcPr>
        <w:p w14:paraId="4E29FEBA" w14:textId="0BD24BF5" w:rsidR="29AC05AA" w:rsidRDefault="29AC05AA" w:rsidP="29AC05AA">
          <w:pPr>
            <w:pStyle w:val="Header"/>
            <w:ind w:left="-115"/>
          </w:pPr>
        </w:p>
      </w:tc>
      <w:tc>
        <w:tcPr>
          <w:tcW w:w="3120" w:type="dxa"/>
        </w:tcPr>
        <w:p w14:paraId="3151338F" w14:textId="4E0AAF05" w:rsidR="29AC05AA" w:rsidRDefault="29AC05AA" w:rsidP="29AC05AA">
          <w:pPr>
            <w:pStyle w:val="Header"/>
            <w:jc w:val="center"/>
          </w:pPr>
        </w:p>
      </w:tc>
      <w:tc>
        <w:tcPr>
          <w:tcW w:w="3120" w:type="dxa"/>
        </w:tcPr>
        <w:p w14:paraId="2BB5F43C" w14:textId="3FE21AD9" w:rsidR="29AC05AA" w:rsidRDefault="29AC05AA" w:rsidP="29AC05AA">
          <w:pPr>
            <w:pStyle w:val="Header"/>
            <w:ind w:right="-115"/>
            <w:jc w:val="right"/>
          </w:pPr>
        </w:p>
      </w:tc>
    </w:tr>
  </w:tbl>
  <w:p w14:paraId="1D6678CE" w14:textId="77777777" w:rsidR="00544264" w:rsidRDefault="00544264" w:rsidP="00544264">
    <w:pPr>
      <w:pStyle w:val="Default"/>
    </w:pPr>
  </w:p>
  <w:p w14:paraId="6D7626F1" w14:textId="7F3546EE" w:rsidR="29AC05AA" w:rsidRDefault="00544264" w:rsidP="00544264">
    <w:pPr>
      <w:pStyle w:val="Footer"/>
    </w:pPr>
    <w:r>
      <w:t xml:space="preserve"> </w:t>
    </w:r>
    <w:r>
      <w:rPr>
        <w:sz w:val="12"/>
        <w:szCs w:val="12"/>
      </w:rPr>
      <w:t>© 2024 Berkley Design Professional.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6020A" w14:textId="77777777" w:rsidR="00A251F6" w:rsidRDefault="00A251F6">
      <w:pPr>
        <w:spacing w:after="0" w:line="240" w:lineRule="auto"/>
      </w:pPr>
      <w:r>
        <w:separator/>
      </w:r>
    </w:p>
  </w:footnote>
  <w:footnote w:type="continuationSeparator" w:id="0">
    <w:p w14:paraId="7B7DA3A0" w14:textId="77777777" w:rsidR="00A251F6" w:rsidRDefault="00A25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F638" w14:textId="31856907" w:rsidR="00D406AF" w:rsidRDefault="004269C6" w:rsidP="00035463">
    <w:pPr>
      <w:pStyle w:val="NormalWeb"/>
    </w:pPr>
    <w:r>
      <w:t xml:space="preserve"> </w:t>
    </w:r>
    <w:r w:rsidR="009C532B">
      <w:rPr>
        <w:noProof/>
      </w:rPr>
      <w:drawing>
        <wp:inline distT="0" distB="0" distL="0" distR="0" wp14:anchorId="7BE92F6E" wp14:editId="094E26AE">
          <wp:extent cx="1989247" cy="843923"/>
          <wp:effectExtent l="0" t="0" r="0" b="0"/>
          <wp:docPr id="98065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4973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92606" cy="845348"/>
                  </a:xfrm>
                  <a:prstGeom prst="rect">
                    <a:avLst/>
                  </a:prstGeom>
                </pic:spPr>
              </pic:pic>
            </a:graphicData>
          </a:graphic>
        </wp:inline>
      </w:drawing>
    </w:r>
    <w:r>
      <w:t xml:space="preserve">          </w:t>
    </w:r>
    <w:r>
      <w:rPr>
        <w:noProof/>
      </w:rPr>
      <w:drawing>
        <wp:inline distT="0" distB="0" distL="0" distR="0" wp14:anchorId="1A66309D" wp14:editId="70A9AC95">
          <wp:extent cx="3455719" cy="954048"/>
          <wp:effectExtent l="0" t="0" r="0" b="0"/>
          <wp:docPr id="1020486374"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8020" cy="9629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EF"/>
    <w:multiLevelType w:val="hybridMultilevel"/>
    <w:tmpl w:val="79484C86"/>
    <w:lvl w:ilvl="0" w:tplc="D49C09E0">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82B4B"/>
    <w:multiLevelType w:val="hybridMultilevel"/>
    <w:tmpl w:val="517E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C4A6F"/>
    <w:multiLevelType w:val="hybridMultilevel"/>
    <w:tmpl w:val="528C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A2DFC"/>
    <w:multiLevelType w:val="hybridMultilevel"/>
    <w:tmpl w:val="9790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C0D62"/>
    <w:multiLevelType w:val="hybridMultilevel"/>
    <w:tmpl w:val="2E3AD1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48883AC6"/>
    <w:multiLevelType w:val="hybridMultilevel"/>
    <w:tmpl w:val="F1F2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A6A05"/>
    <w:multiLevelType w:val="hybridMultilevel"/>
    <w:tmpl w:val="BFBC3F40"/>
    <w:lvl w:ilvl="0" w:tplc="D49C09E0">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7874BC6"/>
    <w:multiLevelType w:val="hybridMultilevel"/>
    <w:tmpl w:val="84E4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F1FE6"/>
    <w:multiLevelType w:val="hybridMultilevel"/>
    <w:tmpl w:val="E51A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064968">
    <w:abstractNumId w:val="6"/>
  </w:num>
  <w:num w:numId="2" w16cid:durableId="710229989">
    <w:abstractNumId w:val="0"/>
  </w:num>
  <w:num w:numId="3" w16cid:durableId="1943994452">
    <w:abstractNumId w:val="4"/>
  </w:num>
  <w:num w:numId="4" w16cid:durableId="725641005">
    <w:abstractNumId w:val="5"/>
  </w:num>
  <w:num w:numId="5" w16cid:durableId="482935361">
    <w:abstractNumId w:val="2"/>
  </w:num>
  <w:num w:numId="6" w16cid:durableId="1071542082">
    <w:abstractNumId w:val="8"/>
  </w:num>
  <w:num w:numId="7" w16cid:durableId="1988001417">
    <w:abstractNumId w:val="3"/>
  </w:num>
  <w:num w:numId="8" w16cid:durableId="1110204703">
    <w:abstractNumId w:val="1"/>
  </w:num>
  <w:num w:numId="9" w16cid:durableId="832137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A4"/>
    <w:rsid w:val="00035463"/>
    <w:rsid w:val="00182475"/>
    <w:rsid w:val="00191261"/>
    <w:rsid w:val="001A791F"/>
    <w:rsid w:val="00264772"/>
    <w:rsid w:val="00294D89"/>
    <w:rsid w:val="002A4507"/>
    <w:rsid w:val="002E52CA"/>
    <w:rsid w:val="0037015F"/>
    <w:rsid w:val="003A70AA"/>
    <w:rsid w:val="004269C6"/>
    <w:rsid w:val="0044091B"/>
    <w:rsid w:val="004B30EA"/>
    <w:rsid w:val="004F709F"/>
    <w:rsid w:val="0052649D"/>
    <w:rsid w:val="00544264"/>
    <w:rsid w:val="005D5BFF"/>
    <w:rsid w:val="00625073"/>
    <w:rsid w:val="00673057"/>
    <w:rsid w:val="0072278F"/>
    <w:rsid w:val="00754E48"/>
    <w:rsid w:val="00757991"/>
    <w:rsid w:val="00795C7E"/>
    <w:rsid w:val="007E5703"/>
    <w:rsid w:val="007F4247"/>
    <w:rsid w:val="007F47D5"/>
    <w:rsid w:val="00827C8B"/>
    <w:rsid w:val="0086354D"/>
    <w:rsid w:val="00926329"/>
    <w:rsid w:val="009C532B"/>
    <w:rsid w:val="009C53B0"/>
    <w:rsid w:val="00A251F6"/>
    <w:rsid w:val="00AE1DDD"/>
    <w:rsid w:val="00C269D5"/>
    <w:rsid w:val="00D406AF"/>
    <w:rsid w:val="00D76031"/>
    <w:rsid w:val="00DB0B68"/>
    <w:rsid w:val="00DB66D2"/>
    <w:rsid w:val="00DF16B8"/>
    <w:rsid w:val="00E05672"/>
    <w:rsid w:val="00E07EA4"/>
    <w:rsid w:val="00E53499"/>
    <w:rsid w:val="00E97CF7"/>
    <w:rsid w:val="00EB53A5"/>
    <w:rsid w:val="00EF4CC8"/>
    <w:rsid w:val="00F54AC4"/>
    <w:rsid w:val="00F912DC"/>
    <w:rsid w:val="00F91C7D"/>
    <w:rsid w:val="00FC1776"/>
    <w:rsid w:val="068E87C2"/>
    <w:rsid w:val="29AC05AA"/>
    <w:rsid w:val="45E4F071"/>
    <w:rsid w:val="4CD10A87"/>
    <w:rsid w:val="53AC0BB8"/>
    <w:rsid w:val="58A3E7B5"/>
    <w:rsid w:val="5AA2D2A0"/>
    <w:rsid w:val="6071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2BD2"/>
  <w15:chartTrackingRefBased/>
  <w15:docId w15:val="{E86D17D0-9AE4-40C8-8B8D-70E4A127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A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57991"/>
    <w:pPr>
      <w:spacing w:after="0" w:line="240" w:lineRule="auto"/>
    </w:pPr>
  </w:style>
  <w:style w:type="character" w:styleId="CommentReference">
    <w:name w:val="annotation reference"/>
    <w:basedOn w:val="DefaultParagraphFont"/>
    <w:uiPriority w:val="99"/>
    <w:semiHidden/>
    <w:unhideWhenUsed/>
    <w:rsid w:val="00182475"/>
    <w:rPr>
      <w:sz w:val="16"/>
      <w:szCs w:val="16"/>
    </w:rPr>
  </w:style>
  <w:style w:type="paragraph" w:styleId="CommentText">
    <w:name w:val="annotation text"/>
    <w:basedOn w:val="Normal"/>
    <w:link w:val="CommentTextChar"/>
    <w:uiPriority w:val="99"/>
    <w:unhideWhenUsed/>
    <w:rsid w:val="00182475"/>
    <w:pPr>
      <w:spacing w:line="240" w:lineRule="auto"/>
    </w:pPr>
    <w:rPr>
      <w:sz w:val="20"/>
      <w:szCs w:val="20"/>
    </w:rPr>
  </w:style>
  <w:style w:type="character" w:customStyle="1" w:styleId="CommentTextChar">
    <w:name w:val="Comment Text Char"/>
    <w:basedOn w:val="DefaultParagraphFont"/>
    <w:link w:val="CommentText"/>
    <w:uiPriority w:val="99"/>
    <w:rsid w:val="00182475"/>
    <w:rPr>
      <w:sz w:val="20"/>
      <w:szCs w:val="20"/>
    </w:rPr>
  </w:style>
  <w:style w:type="paragraph" w:styleId="CommentSubject">
    <w:name w:val="annotation subject"/>
    <w:basedOn w:val="CommentText"/>
    <w:next w:val="CommentText"/>
    <w:link w:val="CommentSubjectChar"/>
    <w:uiPriority w:val="99"/>
    <w:semiHidden/>
    <w:unhideWhenUsed/>
    <w:rsid w:val="00182475"/>
    <w:rPr>
      <w:b/>
      <w:bCs/>
    </w:rPr>
  </w:style>
  <w:style w:type="character" w:customStyle="1" w:styleId="CommentSubjectChar">
    <w:name w:val="Comment Subject Char"/>
    <w:basedOn w:val="CommentTextChar"/>
    <w:link w:val="CommentSubject"/>
    <w:uiPriority w:val="99"/>
    <w:semiHidden/>
    <w:rsid w:val="00182475"/>
    <w:rPr>
      <w:b/>
      <w:bCs/>
      <w:sz w:val="20"/>
      <w:szCs w:val="20"/>
    </w:rPr>
  </w:style>
  <w:style w:type="paragraph" w:styleId="NormalWeb">
    <w:name w:val="Normal (Web)"/>
    <w:basedOn w:val="Normal"/>
    <w:uiPriority w:val="99"/>
    <w:unhideWhenUsed/>
    <w:rsid w:val="00035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426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44264"/>
    <w:rPr>
      <w:color w:val="0563C1" w:themeColor="hyperlink"/>
      <w:u w:val="single"/>
    </w:rPr>
  </w:style>
  <w:style w:type="character" w:styleId="UnresolvedMention">
    <w:name w:val="Unresolved Mention"/>
    <w:basedOn w:val="DefaultParagraphFont"/>
    <w:uiPriority w:val="99"/>
    <w:semiHidden/>
    <w:unhideWhenUsed/>
    <w:rsid w:val="00544264"/>
    <w:rPr>
      <w:color w:val="605E5C"/>
      <w:shd w:val="clear" w:color="auto" w:fill="E1DFDD"/>
    </w:rPr>
  </w:style>
  <w:style w:type="character" w:styleId="FollowedHyperlink">
    <w:name w:val="FollowedHyperlink"/>
    <w:basedOn w:val="DefaultParagraphFont"/>
    <w:uiPriority w:val="99"/>
    <w:semiHidden/>
    <w:unhideWhenUsed/>
    <w:rsid w:val="0019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4142">
      <w:bodyDiv w:val="1"/>
      <w:marLeft w:val="0"/>
      <w:marRight w:val="0"/>
      <w:marTop w:val="0"/>
      <w:marBottom w:val="0"/>
      <w:divBdr>
        <w:top w:val="none" w:sz="0" w:space="0" w:color="auto"/>
        <w:left w:val="none" w:sz="0" w:space="0" w:color="auto"/>
        <w:bottom w:val="none" w:sz="0" w:space="0" w:color="auto"/>
        <w:right w:val="none" w:sz="0" w:space="0" w:color="auto"/>
      </w:divBdr>
    </w:div>
    <w:div w:id="1246379023">
      <w:bodyDiv w:val="1"/>
      <w:marLeft w:val="0"/>
      <w:marRight w:val="0"/>
      <w:marTop w:val="0"/>
      <w:marBottom w:val="0"/>
      <w:divBdr>
        <w:top w:val="none" w:sz="0" w:space="0" w:color="auto"/>
        <w:left w:val="none" w:sz="0" w:space="0" w:color="auto"/>
        <w:bottom w:val="none" w:sz="0" w:space="0" w:color="auto"/>
        <w:right w:val="none" w:sz="0" w:space="0" w:color="auto"/>
      </w:divBdr>
    </w:div>
    <w:div w:id="13959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me.com/charter/6168505/architects-work-space/" TargetMode="External"/><Relationship Id="rId18" Type="http://schemas.openxmlformats.org/officeDocument/2006/relationships/hyperlink" Target="https://hbr.org/2021/09/12-questions-about-hybrid-work-answered" TargetMode="External"/><Relationship Id="rId26" Type="http://schemas.openxmlformats.org/officeDocument/2006/relationships/hyperlink" Target="https://web-assets.bcg.com/74/33/14077446434fa8685891ba0e2e69/bcg-decoding-global-ways-of-working-mar-2021.pdf" TargetMode="External"/><Relationship Id="rId3" Type="http://schemas.openxmlformats.org/officeDocument/2006/relationships/customXml" Target="../customXml/item3.xml"/><Relationship Id="rId21" Type="http://schemas.openxmlformats.org/officeDocument/2006/relationships/hyperlink" Target="https://riskonnect.com/integrated-risk-management/hybrid-working-risk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bdmagazine.com/hybrid-office-design/" TargetMode="External"/><Relationship Id="rId17" Type="http://schemas.openxmlformats.org/officeDocument/2006/relationships/hyperlink" Target="https://hbr.org/2021/03/designing-the-hybrid-office" TargetMode="External"/><Relationship Id="rId25" Type="http://schemas.openxmlformats.org/officeDocument/2006/relationships/hyperlink" Target="https://rmi.com.sg/2021/10/15/5-major-risks-of-hybrid-work-mode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2space.co.uk/knowledge/hybrid-office-design/" TargetMode="External"/><Relationship Id="rId20" Type="http://schemas.openxmlformats.org/officeDocument/2006/relationships/hyperlink" Target="https://www.tallyworkspace.com/articles/an-interview-with-commercial-interior-designer-heather-lehmann-how-to-design-a-hybrid-office" TargetMode="External"/><Relationship Id="rId29" Type="http://schemas.openxmlformats.org/officeDocument/2006/relationships/hyperlink" Target="https://blog.darwinbox.com/diversity-equity-inclusion-hybrid-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kdesign.com/2023/02/navigating-the-complexity-of-the-hybrid-workplace-design-process/" TargetMode="External"/><Relationship Id="rId24" Type="http://schemas.openxmlformats.org/officeDocument/2006/relationships/hyperlink" Target="https://hbr.org/2022/02/5-challenges-of-hybrid-work-and-how-to-overcome-them"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ermanmiller.com/content/dam/hermanmiller/documents/future_of_work/drivers_of_change_for_the_future_of_work.pdf" TargetMode="External"/><Relationship Id="rId23" Type="http://schemas.openxmlformats.org/officeDocument/2006/relationships/hyperlink" Target="https://www.mckinsey.com/capabilities/people-and-organizational-performance/our-insights/the-organization-blog/the-future-of-the-workplace-embracing-change-and-fostering-connectivity" TargetMode="External"/><Relationship Id="rId28" Type="http://schemas.openxmlformats.org/officeDocument/2006/relationships/hyperlink" Target="https://www.knightfrank.co.uk/office-space/insights/culture-and-space/creating-company-culture-in-a-hybrid-working-model/" TargetMode="External"/><Relationship Id="rId10" Type="http://schemas.openxmlformats.org/officeDocument/2006/relationships/hyperlink" Target="https://www.gensler.com/blog/5-considerations-for-a-better-hybrid-work-experience" TargetMode="External"/><Relationship Id="rId19" Type="http://schemas.openxmlformats.org/officeDocument/2006/relationships/hyperlink" Target="https://www.iofficecorp.com/blog/hybrid-office-example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eelcase.com/eu-en/research/articles/topics/culture-talent/leadership-by-design/" TargetMode="External"/><Relationship Id="rId22" Type="http://schemas.openxmlformats.org/officeDocument/2006/relationships/hyperlink" Target="https://www.mckinsey.com/capabilities/people-and-organizational-performance/our-insights/the-organization-blog/the-future-of-work-managing-three-risks-of-the-hybrid-workplace" TargetMode="External"/><Relationship Id="rId27" Type="http://schemas.openxmlformats.org/officeDocument/2006/relationships/hyperlink" Target="https://siepr.stanford.edu/publications/policy-brief/hybrid-future-work" TargetMode="External"/><Relationship Id="rId30" Type="http://schemas.openxmlformats.org/officeDocument/2006/relationships/image" Target="media/image1.png"/><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TaxCatchAll xmlns="3261a78c-d450-4c7a-9054-f88071cdb3eb" xsi:nil="true"/>
    <c9qi xmlns="d1b05284-cf3f-4576-99a2-aa8ec7cc0ff1" xsi:nil="true"/>
    <sw9x xmlns="d1b05284-cf3f-4576-99a2-aa8ec7cc0f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3" ma:contentTypeDescription="Create a new document." ma:contentTypeScope="" ma:versionID="7815833dc351b486fbc912857e4d9959">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8c9007750e388ff654c9ea5baf6b5c0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20833-2219-4B81-8C13-AC184171F724}">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customXml/itemProps2.xml><?xml version="1.0" encoding="utf-8"?>
<ds:datastoreItem xmlns:ds="http://schemas.openxmlformats.org/officeDocument/2006/customXml" ds:itemID="{3190027C-8330-46B6-A05B-B875F1498A5C}">
  <ds:schemaRefs>
    <ds:schemaRef ds:uri="http://schemas.microsoft.com/sharepoint/v3/contenttype/forms"/>
  </ds:schemaRefs>
</ds:datastoreItem>
</file>

<file path=customXml/itemProps3.xml><?xml version="1.0" encoding="utf-8"?>
<ds:datastoreItem xmlns:ds="http://schemas.openxmlformats.org/officeDocument/2006/customXml" ds:itemID="{C50A965F-54D4-4DE2-9798-437B8E0C0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05284-cf3f-4576-99a2-aa8ec7cc0ff1"/>
    <ds:schemaRef ds:uri="3261a78c-d450-4c7a-9054-f88071cdb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608b1d-a8c6-4d15-8d70-1c8023f30311}" enabled="1" method="Privileged" siteId="{53b7cac7-14be-46d4-be43-f2ad9244d901}"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Fisher</dc:creator>
  <cp:keywords/>
  <dc:description/>
  <cp:lastModifiedBy>Landon Fisher</cp:lastModifiedBy>
  <cp:revision>4</cp:revision>
  <dcterms:created xsi:type="dcterms:W3CDTF">2024-09-03T21:51:00Z</dcterms:created>
  <dcterms:modified xsi:type="dcterms:W3CDTF">2024-09-03T21:56:00Z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